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Ahmad Zulkarnaen</w:t>
      </w:r>
    </w:p>
    <w:p>
      <w:r>
        <w:t>Applicant ID: Applicant_11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Red</w:t>
      </w:r>
    </w:p>
    <w:p>
      <w:pPr>
        <w:pStyle w:val="Heading1"/>
      </w:pPr>
      <w:r>
        <w:t>Background and public-service tenure</w:t>
      </w:r>
    </w:p>
    <w:p>
      <w:r>
        <w:t>Fifteen years public service, but subject to a formal reprimand in 2022 for late disclosure of a business interest.</w:t>
      </w:r>
    </w:p>
    <w:p>
      <w:pPr>
        <w:pStyle w:val="Heading1"/>
      </w:pPr>
      <w:r>
        <w:t>Declared conflicts of interest</w:t>
      </w:r>
    </w:p>
    <w:p>
      <w:r>
        <w:t>Owns 15 percent of a licensed procurement vendor in South Sulawesi.</w:t>
      </w:r>
    </w:p>
    <w:p>
      <w:pPr>
        <w:pStyle w:val="Heading1"/>
      </w:pPr>
      <w:r>
        <w:t>Notes from initial screening</w:t>
      </w:r>
    </w:p>
    <w:p>
      <w:r>
        <w:t>Disciplinary record and active material conflict.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