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Rifki Ramadhan</w:t>
      </w:r>
    </w:p>
    <w:p>
      <w:r>
        <w:t>Applicant ID: Applicant_12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Red</w:t>
      </w:r>
    </w:p>
    <w:p>
      <w:pPr>
        <w:pStyle w:val="Heading1"/>
      </w:pPr>
      <w:r>
        <w:t>Background and public-service tenure</w:t>
      </w:r>
    </w:p>
    <w:p>
      <w:r>
        <w:t>Eight years public service across three ministries.</w:t>
      </w:r>
    </w:p>
    <w:p>
      <w:pPr>
        <w:pStyle w:val="Heading1"/>
      </w:pPr>
      <w:r>
        <w:t>Declared conflicts of interest</w:t>
      </w:r>
    </w:p>
    <w:p>
      <w:r>
        <w:t>None declared.</w:t>
      </w:r>
    </w:p>
    <w:p>
      <w:pPr>
        <w:pStyle w:val="Heading1"/>
      </w:pPr>
      <w:r>
        <w:t>Notes from initial screening</w:t>
      </w:r>
    </w:p>
    <w:p>
      <w:r>
        <w:t>Two references declined to comment. One anonymous complaint on record from previous posting alleges intimidation of a junior colleague. Not verified but unresolved. Do not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