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36"/>
        </w:rPr>
        <w:t>Q4 Stakeholder Coordination Briefing</w:t>
      </w:r>
    </w:p>
    <w:p>
      <w:r>
        <w:t>Contoso Life Assurance · For internal use only · September 2026</w:t>
      </w:r>
    </w:p>
    <w:p>
      <w:pPr>
        <w:pStyle w:val="Heading2"/>
      </w:pPr>
      <w:r>
        <w:t>Purpose</w:t>
      </w:r>
    </w:p>
    <w:p>
      <w:r>
        <w:t>This briefing prepares the COO and the Operations leadership team for the Q4 stakeholder coordination cycle. It summarises the calendar of touchpoints with our bancassurance partners, brokers, reinsurers, and the regulator, and sets out the key messages we want each audience to take away.</w:t>
      </w:r>
    </w:p>
    <w:p>
      <w:pPr>
        <w:pStyle w:val="Heading2"/>
      </w:pPr>
      <w:r>
        <w:t>Bancassurance partners</w:t>
      </w:r>
    </w:p>
    <w:p>
      <w:r>
        <w:t>Six partner banks across Tier 1 and Tier 2. Combined Q3 production: IDR 184 Bn new business premium. Q4 campaign kick-off scheduled 12 November.</w:t>
      </w:r>
    </w:p>
    <w:p>
      <w:pPr>
        <w:pStyle w:val="ListBullet"/>
      </w:pPr>
      <w:r>
        <w:t>Confirm Q4 product mix and joint campaign mechanics</w:t>
      </w:r>
    </w:p>
    <w:p>
      <w:pPr>
        <w:pStyle w:val="ListBullet"/>
      </w:pPr>
      <w:r>
        <w:t>Walk through our 24-hour onboarding service commitment</w:t>
      </w:r>
    </w:p>
    <w:p>
      <w:pPr>
        <w:pStyle w:val="ListBullet"/>
      </w:pPr>
      <w:r>
        <w:t>Share the Year-3 persistency analysis and joint retention plan</w:t>
      </w:r>
    </w:p>
    <w:p>
      <w:pPr>
        <w:pStyle w:val="ListBullet"/>
      </w:pPr>
      <w:r>
        <w:t>Review branch sales force training schedule</w:t>
      </w:r>
    </w:p>
    <w:p>
      <w:pPr>
        <w:pStyle w:val="Heading2"/>
      </w:pPr>
      <w:r>
        <w:t>Corporate brokers</w:t>
      </w:r>
    </w:p>
    <w:p>
      <w:r>
        <w:t>Three corporate brokers covering large group and group-credit life. Q4 forum scheduled 19 November.</w:t>
      </w:r>
    </w:p>
    <w:p>
      <w:pPr>
        <w:pStyle w:val="ListBullet"/>
      </w:pPr>
      <w:r>
        <w:t>Renewal pipeline for January 2027</w:t>
      </w:r>
    </w:p>
    <w:p>
      <w:pPr>
        <w:pStyle w:val="ListBullet"/>
      </w:pPr>
      <w:r>
        <w:t>Claims service experience review</w:t>
      </w:r>
    </w:p>
    <w:p>
      <w:pPr>
        <w:pStyle w:val="ListBullet"/>
      </w:pPr>
      <w:r>
        <w:t>New group health rider proposition</w:t>
      </w:r>
    </w:p>
    <w:p>
      <w:pPr>
        <w:pStyle w:val="Heading2"/>
      </w:pPr>
      <w:r>
        <w:t>Reinsurer panel</w:t>
      </w:r>
    </w:p>
    <w:p>
      <w:r>
        <w:t>Four reinsurers on the treaty panel. Annual treaty review scheduled 3 December.</w:t>
      </w:r>
    </w:p>
    <w:p>
      <w:pPr>
        <w:pStyle w:val="ListBullet"/>
      </w:pPr>
      <w:r>
        <w:t>Treaty renewal terms for 2027</w:t>
      </w:r>
    </w:p>
    <w:p>
      <w:pPr>
        <w:pStyle w:val="ListBullet"/>
      </w:pPr>
      <w:r>
        <w:t>Critical illness experience and pricing review</w:t>
      </w:r>
    </w:p>
    <w:p>
      <w:pPr>
        <w:pStyle w:val="ListBullet"/>
      </w:pPr>
      <w:r>
        <w:t>Catastrophe cover capacity</w:t>
      </w:r>
    </w:p>
    <w:p>
      <w:pPr>
        <w:pStyle w:val="Heading2"/>
      </w:pPr>
      <w:r>
        <w:t>Regulator engagement</w:t>
      </w:r>
    </w:p>
    <w:p>
      <w:r>
        <w:t>Quarterly supervisory dialogue with the regulator scheduled 26 November. Standing topics: solvency, claims TAT, customer complaints, market conduct.</w:t>
      </w:r>
    </w:p>
    <w:p>
      <w:pPr>
        <w:pStyle w:val="Heading2"/>
      </w:pPr>
      <w:r>
        <w:t>Key dates</w:t>
      </w:r>
    </w:p>
    <w:p>
      <w:pPr>
        <w:pStyle w:val="ListBullet"/>
      </w:pPr>
      <w:r>
        <w:t>20 Oct — Q4 bancassurance brief to COO for review</w:t>
      </w:r>
    </w:p>
    <w:p>
      <w:pPr>
        <w:pStyle w:val="ListBullet"/>
      </w:pPr>
      <w:r>
        <w:t>12 Nov — Bancassurance Q4 kick-off</w:t>
      </w:r>
    </w:p>
    <w:p>
      <w:pPr>
        <w:pStyle w:val="ListBullet"/>
      </w:pPr>
      <w:r>
        <w:t>19 Nov — Corporate broker Q4 forum</w:t>
      </w:r>
    </w:p>
    <w:p>
      <w:pPr>
        <w:pStyle w:val="ListBullet"/>
      </w:pPr>
      <w:r>
        <w:t>26 Nov — Regulator quarterly dialogue</w:t>
      </w:r>
    </w:p>
    <w:p>
      <w:pPr>
        <w:pStyle w:val="ListBullet"/>
      </w:pPr>
      <w:r>
        <w:t>3 Dec — Reinsurer treaty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