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03366"/>
          <w:sz w:val="36"/>
        </w:rPr>
        <w:t>Brand &amp; Publication Guidelines</w:t>
      </w:r>
    </w:p>
    <w:p>
      <w:r>
        <w:t>Contoso Life Assurance · 2026 edition</w:t>
      </w:r>
    </w:p>
    <w:p>
      <w:pPr>
        <w:pStyle w:val="Heading2"/>
      </w:pPr>
      <w:r>
        <w:t>Brand voice</w:t>
      </w:r>
    </w:p>
    <w:p>
      <w:r>
        <w:t>Contoso Life Assurance speaks in a tone that is professional, warm, and customer-centric. As a semi-government insurer, we balance the authority of a regulated institution with the empathy of a partner that supports families through their most important moments.</w:t>
      </w:r>
    </w:p>
    <w:p>
      <w:pPr>
        <w:pStyle w:val="ListBullet"/>
      </w:pPr>
      <w:r>
        <w:t>Professional — accurate, grounded in fact, free of jargon</w:t>
      </w:r>
    </w:p>
    <w:p>
      <w:pPr>
        <w:pStyle w:val="ListBullet"/>
      </w:pPr>
      <w:r>
        <w:t>Warm — empathetic, human, mindful of the customer's situation</w:t>
      </w:r>
    </w:p>
    <w:p>
      <w:pPr>
        <w:pStyle w:val="ListBullet"/>
      </w:pPr>
      <w:r>
        <w:t>Customer-centric — every sentence answers "so what for the customer?"</w:t>
      </w:r>
    </w:p>
    <w:p>
      <w:pPr>
        <w:pStyle w:val="ListBullet"/>
      </w:pPr>
      <w:r>
        <w:t>Plain language — aim for a 9th-grade reading level in customer communications</w:t>
      </w:r>
    </w:p>
    <w:p>
      <w:pPr>
        <w:pStyle w:val="ListBullet"/>
      </w:pPr>
      <w:r>
        <w:t>Bilingual by default — Bahasa Indonesia primary, English where audience requires</w:t>
      </w:r>
    </w:p>
    <w:p>
      <w:pPr>
        <w:pStyle w:val="Heading2"/>
      </w:pPr>
      <w:r>
        <w:t>Visual identity</w:t>
      </w:r>
    </w:p>
    <w:p>
      <w:r>
        <w:t>Primary palette: Corporate Navy #003366 (authority, stability) and Trust Teal #00A19A (modernity, partnership). Use Corporate Navy for headers and structural elements; Trust Teal for accents, KPI highlights and chart series.</w:t>
      </w:r>
    </w:p>
    <w:p>
      <w:r>
        <w:t>Typography: Calibri for body text; Calibri Bold for headings. Use sentence case for headings — Title Case Only For Proper Nouns.</w:t>
      </w:r>
    </w:p>
    <w:p>
      <w:pPr>
        <w:pStyle w:val="Heading2"/>
      </w:pPr>
      <w:r>
        <w:t>Publication structure</w:t>
      </w:r>
    </w:p>
    <w:p>
      <w:pPr>
        <w:pStyle w:val="ListBullet"/>
      </w:pPr>
      <w:r>
        <w:t>Header bar with the Contoso Life Assurance wordmark and the publication classification</w:t>
      </w:r>
    </w:p>
    <w:p>
      <w:pPr>
        <w:pStyle w:val="ListBullet"/>
      </w:pPr>
      <w:r>
        <w:t>Executive summary in 5 bullets or less</w:t>
      </w:r>
    </w:p>
    <w:p>
      <w:pPr>
        <w:pStyle w:val="ListBullet"/>
      </w:pPr>
      <w:r>
        <w:t>Body sections with sentence-case headings</w:t>
      </w:r>
    </w:p>
    <w:p>
      <w:pPr>
        <w:pStyle w:val="ListBullet"/>
      </w:pPr>
      <w:r>
        <w:t>"What this means for our customers" call-out before the close</w:t>
      </w:r>
    </w:p>
    <w:p>
      <w:pPr>
        <w:pStyle w:val="ListBullet"/>
      </w:pPr>
      <w:r>
        <w:t>Footer with the confidentiality classification and contact line</w:t>
      </w:r>
    </w:p>
    <w:p>
      <w:pPr>
        <w:pStyle w:val="Heading2"/>
      </w:pPr>
      <w:r>
        <w:t>Words we use, words we avoid</w:t>
      </w:r>
    </w:p>
    <w:p>
      <w:r>
        <w:t>Use: policyholder, family, claim, benefit, protection, support, partner.</w:t>
        <w:br/>
        <w:t>Avoid: insured, deceased (use "the policyholder" or name), liability, exposure, payout (in customer comms — use "benefit").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