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Same-Store Sales Recovery — Brand Portfolio Review</w:t>
      </w:r>
    </w:p>
    <w:p>
      <w:r>
        <w:t>Contoso Lifestyle Retail · Strategic Memo · Internal · 05 June 2026</w:t>
      </w:r>
    </w:p>
    <w:p/>
    <w:p>
      <w:pPr>
        <w:pStyle w:val="Heading1"/>
      </w:pPr>
      <w:r>
        <w:t>Executive Summary</w:t>
      </w:r>
    </w:p>
    <w:p>
      <w:r>
        <w:t>Same-store sales growth has decelerated to +3.2% YoY across the portfolio versus a FY26 plan of +5.5%. The drag sits primarily in mid-tier department-store anchors; sports and premium lifestyle continue to outperform. We recommend a targeted brand-portfolio rebalancing, three new-store openings in tier-2 cities, and an accelerated online-pickup rollout.</w:t>
      </w:r>
    </w:p>
    <w:p>
      <w:pPr>
        <w:pStyle w:val="Heading1"/>
      </w:pPr>
      <w:r>
        <w:t>Where we are</w:t>
      </w:r>
    </w:p>
    <w:p>
      <w:pPr>
        <w:pStyle w:val="ListBullet"/>
      </w:pPr>
      <w:r>
        <w:t>Same-Store Sales Growth % — current YTD vs plan; full breakdown in 02 Contoso_KPI_Dashboard.xlsx.</w:t>
      </w:r>
    </w:p>
    <w:p>
      <w:pPr>
        <w:pStyle w:val="ListBullet"/>
      </w:pPr>
      <w:r>
        <w:t>Avg Basket Size (IDR k) — current YTD vs plan; full breakdown in 02 Contoso_KPI_Dashboard.xlsx.</w:t>
      </w:r>
    </w:p>
    <w:p>
      <w:pPr>
        <w:pStyle w:val="ListBullet"/>
      </w:pPr>
      <w:r>
        <w:t>Inventory Turn (x/yr)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Rebalance the brand portfolio — premium-up, mid-tier-out.</w:t>
      </w:r>
    </w:p>
    <w:p>
      <w:pPr>
        <w:pStyle w:val="ListNumber"/>
      </w:pPr>
      <w:r>
        <w:t>Open 3 stores in tier-2 cities (Makassar, Manado, Pekanbaru).</w:t>
      </w:r>
    </w:p>
    <w:p>
      <w:pPr>
        <w:pStyle w:val="ListNumber"/>
      </w:pPr>
      <w:r>
        <w:t>Scale online-pickup to all 300+ stores by Q4.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