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E3A5F"/>
          <w:sz w:val="32"/>
        </w:rPr>
        <w:t>VENDOR SERVICE AGREEMENT</w:t>
      </w:r>
    </w:p>
    <w:p>
      <w:pPr>
        <w:jc w:val="center"/>
      </w:pPr>
      <w:r>
        <w:rPr>
          <w:b/>
        </w:rPr>
        <w:t>Medical Linen &amp; Laundry Services</w:t>
      </w:r>
    </w:p>
    <w:p/>
    <w:tbl>
      <w:tblPr>
        <w:tblStyle w:val="TableGrid"/>
        <w:tblW w:type="auto" w:w="0"/>
        <w:tblLook w:firstColumn="1" w:firstRow="1" w:lastColumn="0" w:lastRow="0" w:noHBand="0" w:noVBand="1" w:val="04A0"/>
      </w:tblPr>
      <w:tblGrid>
        <w:gridCol w:w="4320"/>
        <w:gridCol w:w="4320"/>
      </w:tblGrid>
      <w:tr>
        <w:tc>
          <w:tcPr>
            <w:tcW w:type="dxa" w:w="2880"/>
          </w:tcPr>
          <w:p>
            <w:r>
              <w:rPr>
                <w:b/>
              </w:rPr>
              <w:t>Agreement Reference:</w:t>
            </w:r>
          </w:p>
        </w:tc>
        <w:tc>
          <w:tcPr>
            <w:tcW w:type="dxa" w:w="5760"/>
          </w:tcPr>
          <w:p>
            <w:r>
              <w:t>CMC/CONT/2025/037</w:t>
            </w:r>
          </w:p>
        </w:tc>
      </w:tr>
      <w:tr>
        <w:tc>
          <w:tcPr>
            <w:tcW w:type="dxa" w:w="2880"/>
          </w:tcPr>
          <w:p>
            <w:r>
              <w:rPr>
                <w:b/>
              </w:rPr>
              <w:t>Client:</w:t>
            </w:r>
          </w:p>
        </w:tc>
        <w:tc>
          <w:tcPr>
            <w:tcW w:type="dxa" w:w="5760"/>
          </w:tcPr>
          <w:p>
            <w:r>
              <w:t>Contoso Medical Centre Sdn Bhd (Registration No. 198401012345 (123456-X))</w:t>
            </w:r>
          </w:p>
        </w:tc>
      </w:tr>
      <w:tr>
        <w:tc>
          <w:tcPr>
            <w:tcW w:type="dxa" w:w="2880"/>
          </w:tcPr>
          <w:p>
            <w:r>
              <w:rPr>
                <w:b/>
              </w:rPr>
              <w:t>Service Provider:</w:t>
            </w:r>
          </w:p>
        </w:tc>
        <w:tc>
          <w:tcPr>
            <w:tcW w:type="dxa" w:w="5760"/>
          </w:tcPr>
          <w:p>
            <w:r>
              <w:t>CleanMed Services Sdn Bhd (Registration No. 201001098765 (987654-K))</w:t>
            </w:r>
          </w:p>
        </w:tc>
      </w:tr>
      <w:tr>
        <w:tc>
          <w:tcPr>
            <w:tcW w:type="dxa" w:w="2880"/>
          </w:tcPr>
          <w:p>
            <w:r>
              <w:rPr>
                <w:b/>
              </w:rPr>
              <w:t>Contract Value:</w:t>
            </w:r>
          </w:p>
        </w:tc>
        <w:tc>
          <w:tcPr>
            <w:tcW w:type="dxa" w:w="5760"/>
          </w:tcPr>
          <w:p>
            <w:r>
              <w:t>RM 1,200,000 (Ringgit Malaysia One Million Two Hundred Thousand Only)</w:t>
            </w:r>
          </w:p>
        </w:tc>
      </w:tr>
      <w:tr>
        <w:tc>
          <w:tcPr>
            <w:tcW w:type="dxa" w:w="2880"/>
          </w:tcPr>
          <w:p>
            <w:r>
              <w:rPr>
                <w:b/>
              </w:rPr>
              <w:t>Contract Period:</w:t>
            </w:r>
          </w:p>
        </w:tc>
        <w:tc>
          <w:tcPr>
            <w:tcW w:type="dxa" w:w="5760"/>
          </w:tcPr>
          <w:p>
            <w:r>
              <w:t>1 June 2025 to 31 May 2027 (24 months)</w:t>
            </w:r>
          </w:p>
        </w:tc>
      </w:tr>
    </w:tbl>
    <w:p/>
    <w:p>
      <w:pPr>
        <w:pStyle w:val="Heading2"/>
      </w:pPr>
      <w:r>
        <w:rPr>
          <w:color w:val="1E3A5F"/>
        </w:rPr>
        <w:t>1. PARTIES</w:t>
      </w:r>
    </w:p>
    <w:p>
      <w:r>
        <w:rPr>
          <w:b w:val="0"/>
          <w:i w:val="0"/>
          <w:sz w:val="22"/>
        </w:rPr>
        <w:t>1.1  "Client" refers to Contoso Medical Centre Sdn Bhd, a private tertiary hospital licensed under the Private Healthcare Facilities and Services Act 1998, with its principal address at Lot 5, Jalan Hospital, 47500 Subang Jaya, Selangor, Malaysia.</w:t>
      </w:r>
    </w:p>
    <w:p>
      <w:r>
        <w:rPr>
          <w:b w:val="0"/>
          <w:i w:val="0"/>
          <w:sz w:val="22"/>
        </w:rPr>
        <w:t>1.2  "Service Provider" refers to CleanMed Services Sdn Bhd, a company duly incorporated in Malaysia and licensed to provide commercial laundry and linen management services, with its principal address at Lot 22, Jalan Industri 3, Kawasan Perindustrian Temasya, 40150 Shah Alam, Selangor.</w:t>
      </w:r>
    </w:p>
    <w:p>
      <w:pPr>
        <w:pStyle w:val="Heading2"/>
      </w:pPr>
      <w:r>
        <w:rPr>
          <w:color w:val="1E3A5F"/>
        </w:rPr>
        <w:t>2. SCOPE OF SERVICES</w:t>
      </w:r>
    </w:p>
    <w:p>
      <w:r>
        <w:rPr>
          <w:b w:val="0"/>
          <w:i w:val="0"/>
          <w:sz w:val="22"/>
        </w:rPr>
        <w:t>2.1  The Service Provider shall provide the following linen and laundry management services to the Client:</w:t>
      </w:r>
    </w:p>
    <w:p>
      <w:pPr>
        <w:ind w:left="432"/>
      </w:pPr>
      <w:r>
        <w:rPr>
          <w:b w:val="0"/>
          <w:i w:val="0"/>
          <w:sz w:val="22"/>
        </w:rPr>
        <w:t xml:space="preserve">   •  Daily collection of soiled linen from all wards, operating theatres, and clinical areas (collection schedule: 6:00 AM and 2:00 PM daily, including public holidays)</w:t>
      </w:r>
    </w:p>
    <w:p>
      <w:pPr>
        <w:ind w:left="432"/>
      </w:pPr>
      <w:r>
        <w:rPr>
          <w:b w:val="0"/>
          <w:i w:val="0"/>
          <w:sz w:val="22"/>
        </w:rPr>
        <w:t xml:space="preserve">   •  Commercial laundering, disinfection, ironing, and folding of all collected linen in accordance with MS ISO 15748 and hospital infection control standards</w:t>
      </w:r>
    </w:p>
    <w:p>
      <w:pPr>
        <w:ind w:left="432"/>
      </w:pPr>
      <w:r>
        <w:rPr>
          <w:b w:val="0"/>
          <w:i w:val="0"/>
          <w:sz w:val="22"/>
        </w:rPr>
        <w:t xml:space="preserve">   •  Return of clean, packaged linen within 24 hours of collection. Emergency processing (8-hour turnaround) available upon request at no additional charge</w:t>
      </w:r>
    </w:p>
    <w:p>
      <w:pPr>
        <w:ind w:left="432"/>
      </w:pPr>
      <w:r>
        <w:rPr>
          <w:b w:val="0"/>
          <w:i w:val="0"/>
          <w:sz w:val="22"/>
        </w:rPr>
        <w:t xml:space="preserve">   •  Monthly inventory reporting, linen condition assessment, and replacement recommendations</w:t>
      </w:r>
    </w:p>
    <w:p>
      <w:pPr>
        <w:ind w:left="432"/>
      </w:pPr>
      <w:r>
        <w:rPr>
          <w:b w:val="0"/>
          <w:i w:val="0"/>
          <w:sz w:val="22"/>
        </w:rPr>
        <w:t xml:space="preserve">   •  Provision of a dedicated account manager and 24/7 emergency helpline</w:t>
      </w:r>
    </w:p>
    <w:p>
      <w:pPr>
        <w:pStyle w:val="Heading2"/>
      </w:pPr>
      <w:r>
        <w:rPr>
          <w:color w:val="1E3A5F"/>
        </w:rPr>
        <w:t>3. SERVICE LEVELS AND KEY PERFORMANCE INDICATORS</w:t>
      </w:r>
    </w:p>
    <w:p>
      <w:r>
        <w:rPr>
          <w:b w:val="0"/>
          <w:i w:val="0"/>
          <w:sz w:val="22"/>
        </w:rPr>
        <w:t>3.1  The Service Provider shall maintain the following minimum service level standards throughout the contract period: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KPI</w:t>
            </w:r>
          </w:p>
        </w:tc>
        <w:tc>
          <w:tcPr>
            <w:tcW w:type="dxa" w:w="2880"/>
          </w:tcPr>
          <w:p>
            <w:r>
              <w:rPr>
                <w:b/>
              </w:rPr>
              <w:t>Target</w:t>
            </w:r>
          </w:p>
        </w:tc>
        <w:tc>
          <w:tcPr>
            <w:tcW w:type="dxa" w:w="2880"/>
          </w:tcPr>
          <w:p>
            <w:r>
              <w:rPr>
                <w:b/>
              </w:rPr>
              <w:t>Penalty for Breach</w:t>
            </w:r>
          </w:p>
        </w:tc>
      </w:tr>
      <w:tr>
        <w:tc>
          <w:tcPr>
            <w:tcW w:type="dxa" w:w="2880"/>
          </w:tcPr>
          <w:p>
            <w:r>
              <w:t>On-Time Delivery Rate</w:t>
            </w:r>
          </w:p>
        </w:tc>
        <w:tc>
          <w:tcPr>
            <w:tcW w:type="dxa" w:w="2880"/>
          </w:tcPr>
          <w:p>
            <w:r>
              <w:t>≥ 99.5% per month</w:t>
            </w:r>
          </w:p>
        </w:tc>
        <w:tc>
          <w:tcPr>
            <w:tcW w:type="dxa" w:w="2880"/>
          </w:tcPr>
          <w:p>
            <w:r>
              <w:t>RM 500 per incident below 98%</w:t>
            </w:r>
          </w:p>
        </w:tc>
      </w:tr>
      <w:tr>
        <w:tc>
          <w:tcPr>
            <w:tcW w:type="dxa" w:w="2880"/>
          </w:tcPr>
          <w:p>
            <w:r>
              <w:t>Quality Rejection Rate</w:t>
            </w:r>
          </w:p>
        </w:tc>
        <w:tc>
          <w:tcPr>
            <w:tcW w:type="dxa" w:w="2880"/>
          </w:tcPr>
          <w:p>
            <w:r>
              <w:t>≤ 0.5% of items returned</w:t>
            </w:r>
          </w:p>
        </w:tc>
        <w:tc>
          <w:tcPr>
            <w:tcW w:type="dxa" w:w="2880"/>
          </w:tcPr>
          <w:p>
            <w:r>
              <w:t>RM 200 per percentage point above 1%</w:t>
            </w:r>
          </w:p>
        </w:tc>
      </w:tr>
      <w:tr>
        <w:tc>
          <w:tcPr>
            <w:tcW w:type="dxa" w:w="2880"/>
          </w:tcPr>
          <w:p>
            <w:r>
              <w:t>Infection Compliance Rate</w:t>
            </w:r>
          </w:p>
        </w:tc>
        <w:tc>
          <w:tcPr>
            <w:tcW w:type="dxa" w:w="2880"/>
          </w:tcPr>
          <w:p>
            <w:r>
              <w:t>100% (zero non-conformances)</w:t>
            </w:r>
          </w:p>
        </w:tc>
        <w:tc>
          <w:tcPr>
            <w:tcW w:type="dxa" w:w="2880"/>
          </w:tcPr>
          <w:p>
            <w:r>
              <w:t>Immediate escalation + RM 2,000 per incident</w:t>
            </w:r>
          </w:p>
        </w:tc>
      </w:tr>
      <w:tr>
        <w:tc>
          <w:tcPr>
            <w:tcW w:type="dxa" w:w="2880"/>
          </w:tcPr>
          <w:p>
            <w:r>
              <w:t>Emergency Turnaround</w:t>
            </w:r>
          </w:p>
        </w:tc>
        <w:tc>
          <w:tcPr>
            <w:tcW w:type="dxa" w:w="2880"/>
          </w:tcPr>
          <w:p>
            <w:r>
              <w:t>≤ 8 hours</w:t>
            </w:r>
          </w:p>
        </w:tc>
        <w:tc>
          <w:tcPr>
            <w:tcW w:type="dxa" w:w="2880"/>
          </w:tcPr>
          <w:p>
            <w:r>
              <w:t>RM 300 per missed emergency request</w:t>
            </w:r>
          </w:p>
        </w:tc>
      </w:tr>
      <w:tr>
        <w:tc>
          <w:tcPr>
            <w:tcW w:type="dxa" w:w="2880"/>
          </w:tcPr>
          <w:p>
            <w:r>
              <w:t>Account Manager Response</w:t>
            </w:r>
          </w:p>
        </w:tc>
        <w:tc>
          <w:tcPr>
            <w:tcW w:type="dxa" w:w="2880"/>
          </w:tcPr>
          <w:p>
            <w:r>
              <w:t>Within 2 business hours</w:t>
            </w:r>
          </w:p>
        </w:tc>
        <w:tc>
          <w:tcPr>
            <w:tcW w:type="dxa" w:w="2880"/>
          </w:tcPr>
          <w:p>
            <w:r>
              <w:t>Formal notice after 3 consecutive breaches</w:t>
            </w:r>
          </w:p>
        </w:tc>
      </w:tr>
    </w:tbl>
    <w:p/>
    <w:p>
      <w:pPr>
        <w:pStyle w:val="Heading2"/>
      </w:pPr>
      <w:r>
        <w:rPr>
          <w:color w:val="1E3A5F"/>
        </w:rPr>
        <w:t>4. PAYMENT TERMS</w:t>
      </w:r>
    </w:p>
    <w:p>
      <w:r>
        <w:rPr>
          <w:b w:val="0"/>
          <w:i w:val="0"/>
          <w:sz w:val="22"/>
        </w:rPr>
        <w:t>4.1  The Client shall pay the Service Provider a monthly fee of RM 50,000 (Ringgit Malaysia Fifty Thousand Only) per month.</w:t>
      </w:r>
    </w:p>
    <w:p>
      <w:r>
        <w:rPr>
          <w:b w:val="0"/>
          <w:i w:val="0"/>
          <w:sz w:val="22"/>
        </w:rPr>
        <w:t>4.2  Invoices shall be issued by the Service Provider on the first business day of each calendar month for services rendered in the preceding month.</w:t>
      </w:r>
    </w:p>
    <w:p>
      <w:r>
        <w:rPr>
          <w:b/>
          <w:i w:val="0"/>
          <w:sz w:val="22"/>
        </w:rPr>
        <w:t>⚠️  4.3  Payment shall be made within forty-five (45) calendar days from the date of invoice (Net-45 terms). [NOTE: Industry standard for hospital-vendor agreements is Net-30. This clause is unfavourable to the Client.]</w:t>
      </w:r>
    </w:p>
    <w:p>
      <w:r>
        <w:rPr>
          <w:b w:val="0"/>
          <w:i w:val="0"/>
          <w:sz w:val="22"/>
        </w:rPr>
        <w:t>4.4  Late payment interest shall be charged at 1.5% per month on any outstanding balance after the due date.</w:t>
      </w:r>
    </w:p>
    <w:p>
      <w:pPr>
        <w:pStyle w:val="Heading2"/>
      </w:pPr>
      <w:r>
        <w:rPr>
          <w:color w:val="1E3A5F"/>
        </w:rPr>
        <w:t>5. PRICE ESCALATION</w:t>
      </w:r>
    </w:p>
    <w:p>
      <w:r>
        <w:rPr>
          <w:b/>
          <w:i w:val="0"/>
          <w:sz w:val="22"/>
        </w:rPr>
        <w:t>⚠️  5.1  The monthly service fee of RM 50,000 shall be subject to an automatic annual price increase of eight percent (8%) on each anniversary of the Commencement Date, without the requirement for prior notice or negotiation.</w:t>
      </w:r>
    </w:p>
    <w:p>
      <w:r>
        <w:rPr>
          <w:b/>
          <w:i w:val="0"/>
          <w:sz w:val="22"/>
        </w:rPr>
        <w:t>⚠️  5.2  The 8% annual escalation shall apply regardless of prevailing CPI, inflation indices, or market conditions. The Client shall have no right to dispute or negotiate the escalation amount. [RED FLAG: No market benchmark or cap. Over 2 years this increases monthly cost from RM 50,000 to RM 58,320.]</w:t>
      </w:r>
    </w:p>
    <w:p>
      <w:pPr>
        <w:pStyle w:val="Heading2"/>
      </w:pPr>
      <w:r>
        <w:rPr>
          <w:color w:val="1E3A5F"/>
        </w:rPr>
        <w:t>6. LIABILITY AND INDEMNIFICATION</w:t>
      </w:r>
    </w:p>
    <w:p>
      <w:r>
        <w:rPr>
          <w:b w:val="0"/>
          <w:i w:val="0"/>
          <w:sz w:val="22"/>
        </w:rPr>
        <w:t>6.1  Each Party shall indemnify the other against direct losses caused by its own negligence or wilful default.</w:t>
      </w:r>
    </w:p>
    <w:p>
      <w:r>
        <w:rPr>
          <w:b/>
          <w:i w:val="0"/>
          <w:sz w:val="22"/>
        </w:rPr>
        <w:t>⚠️  6.2  Notwithstanding any other provision of this Agreement, the total aggregate liability of the Service Provider to the Client under or in connection with this Agreement, whether arising in contract, tort, negligence, or otherwise, shall not exceed one (1) month's service fee (RM 50,000). [RED FLAG: Liability cap of RM 50,000 is extremely low. A single infection control breach causing patient harm could result in claims far exceeding this amount.]</w:t>
      </w:r>
    </w:p>
    <w:p>
      <w:r>
        <w:rPr>
          <w:b w:val="0"/>
          <w:i w:val="0"/>
          <w:sz w:val="22"/>
        </w:rPr>
        <w:t>6.3  Neither Party shall be liable for indirect, consequential, special, or punitive damages.</w:t>
      </w:r>
    </w:p>
    <w:p>
      <w:pPr>
        <w:pStyle w:val="Heading2"/>
      </w:pPr>
      <w:r>
        <w:rPr>
          <w:color w:val="1E3A5F"/>
        </w:rPr>
        <w:t>7. TERMINATION AND RENEWAL</w:t>
      </w:r>
    </w:p>
    <w:p>
      <w:r>
        <w:rPr>
          <w:b/>
          <w:i w:val="0"/>
          <w:sz w:val="22"/>
        </w:rPr>
        <w:t>⚠️  7.1  AUTO-RENEWAL: This Agreement shall automatically renew for a further period of twenty-four (24) months upon expiry of each term, unless either Party provides written notice of non-renewal at least six (6) months prior to the expiry date. [RED FLAG: 6-month notice window is very short. Missing this window locks the Client in for another 2 years automatically.]</w:t>
      </w:r>
    </w:p>
    <w:p>
      <w:r>
        <w:rPr>
          <w:b/>
          <w:i w:val="0"/>
          <w:sz w:val="22"/>
        </w:rPr>
        <w:t>⚠️  7.2  ASYMMETRIC TERMINATION: The Client may terminate this Agreement for convenience by providing ninety (90) calendar days' written notice to the Service Provider. The Service Provider may terminate this Agreement by providing thirty (30) calendar days' written notice. [RED FLAG: Termination rights are asymmetric — the Service Provider can exit in 30 days while the Client requires 90 days.]</w:t>
      </w:r>
    </w:p>
    <w:p>
      <w:r>
        <w:rPr>
          <w:b w:val="0"/>
          <w:i w:val="0"/>
          <w:sz w:val="22"/>
        </w:rPr>
        <w:t>7.3  Either Party may terminate immediately upon written notice if the other Party commits a material breach that remains unremedied for thirty (30) calendar days after notice.</w:t>
      </w:r>
    </w:p>
    <w:p>
      <w:pPr>
        <w:pStyle w:val="Heading2"/>
      </w:pPr>
      <w:r>
        <w:rPr>
          <w:color w:val="1E3A5F"/>
        </w:rPr>
        <w:t>8. FORCE MAJEURE</w:t>
      </w:r>
    </w:p>
    <w:p>
      <w:r>
        <w:rPr>
          <w:b w:val="0"/>
          <w:i w:val="0"/>
          <w:sz w:val="22"/>
        </w:rPr>
        <w:t>8.1  Neither Party shall be liable for any failure or delay in performance under this Agreement to the extent caused by circumstances beyond its reasonable control, including acts of God, pandemics, floods, fires, government actions, or industrial disputes, provided that the affected Party gives prompt written notice and uses reasonable endeavours to mitigate the impact.</w:t>
      </w:r>
    </w:p>
    <w:p>
      <w:pPr>
        <w:pStyle w:val="Heading2"/>
      </w:pPr>
      <w:r>
        <w:rPr>
          <w:color w:val="1E3A5F"/>
        </w:rPr>
        <w:t>9. CONFIDENTIALITY</w:t>
      </w:r>
    </w:p>
    <w:p>
      <w:r>
        <w:rPr>
          <w:b w:val="0"/>
          <w:i w:val="0"/>
          <w:sz w:val="22"/>
        </w:rPr>
        <w:t>9.1  Each Party shall keep confidential all Confidential Information received from the other Party and shall not disclose such information to any third party without prior written consent, except as required by law or regulatory authority.</w:t>
      </w:r>
    </w:p>
    <w:p>
      <w:pPr>
        <w:pStyle w:val="Heading2"/>
      </w:pPr>
      <w:r>
        <w:rPr>
          <w:color w:val="1E3A5F"/>
        </w:rPr>
        <w:t>10. DISPUTE RESOLUTION</w:t>
      </w:r>
    </w:p>
    <w:p>
      <w:r>
        <w:rPr>
          <w:b w:val="0"/>
          <w:i w:val="0"/>
          <w:sz w:val="22"/>
        </w:rPr>
        <w:t>10.1  The Parties shall attempt to resolve any dispute arising under this Agreement through good-faith negotiation within thirty (30) calendar days of written notification of the dispute.</w:t>
      </w:r>
    </w:p>
    <w:p>
      <w:r>
        <w:rPr>
          <w:b w:val="0"/>
          <w:i w:val="0"/>
          <w:sz w:val="22"/>
        </w:rPr>
        <w:t>10.2  If the dispute cannot be resolved through negotiation, it shall be referred to binding arbitration administered by the Asian International Arbitration Centre (AIAC) in Kuala Lumpur, Malaysia, in accordance with the AIAC Arbitration Rules. The arbitration shall be conducted in the English language.</w:t>
      </w:r>
    </w:p>
    <w:p>
      <w:pPr>
        <w:pStyle w:val="Heading2"/>
      </w:pPr>
      <w:r>
        <w:rPr>
          <w:color w:val="1E3A5F"/>
        </w:rPr>
        <w:t>11. GOVERNING LAW</w:t>
      </w:r>
    </w:p>
    <w:p>
      <w:r>
        <w:rPr>
          <w:b w:val="0"/>
          <w:i w:val="0"/>
          <w:sz w:val="22"/>
        </w:rPr>
        <w:t>11.1  This Agreement shall be governed by and construed in accordance with the laws of Malaysia.</w:t>
      </w:r>
    </w:p>
    <w:p/>
    <w:p>
      <w:r>
        <w:rPr>
          <w:b w:val="0"/>
          <w:i/>
          <w:sz w:val="22"/>
        </w:rPr>
        <w:t>IN WITNESS WHEREOF, the Parties have executed this Agreement as of the date last written below.</w:t>
      </w:r>
    </w:p>
    <w:p/>
    <w:tbl>
      <w:tblPr>
        <w:tblW w:type="auto" w:w="0"/>
        <w:tblLook w:firstColumn="1" w:firstRow="1" w:lastColumn="0" w:lastRow="0" w:noHBand="0" w:noVBand="1" w:val="04A0"/>
      </w:tblPr>
      <w:tblGrid>
        <w:gridCol w:w="4320"/>
        <w:gridCol w:w="4320"/>
      </w:tblGrid>
      <w:tr>
        <w:tc>
          <w:tcPr>
            <w:tcW w:type="dxa" w:w="4320"/>
          </w:tcPr>
          <w:p>
            <w:r>
              <w:rPr>
                <w:b/>
              </w:rPr>
              <w:t>For and on behalf of CLIENT:</w:t>
            </w:r>
          </w:p>
        </w:tc>
        <w:tc>
          <w:tcPr>
            <w:tcW w:type="dxa" w:w="4320"/>
          </w:tcPr>
          <w:p>
            <w:r>
              <w:rPr>
                <w:b/>
              </w:rPr>
              <w:t>For and on behalf of SERVICE PROVIDER:</w:t>
            </w:r>
          </w:p>
        </w:tc>
      </w:tr>
      <w:tr>
        <w:tc>
          <w:tcPr>
            <w:tcW w:type="dxa" w:w="4320"/>
          </w:tcPr>
          <w:p>
            <w:r>
              <w:t>Contoso Medical Centre Sdn Bhd</w:t>
            </w:r>
          </w:p>
        </w:tc>
        <w:tc>
          <w:tcPr>
            <w:tcW w:type="dxa" w:w="4320"/>
          </w:tcPr>
          <w:p>
            <w:r>
              <w:t>CleanMed Services Sdn Bhd</w:t>
            </w:r>
          </w:p>
        </w:tc>
      </w:tr>
      <w:tr>
        <w:tc>
          <w:tcPr>
            <w:tcW w:type="dxa" w:w="4320"/>
          </w:tcPr>
          <w:p>
            <w:r>
              <w:t>Signature: ___________________________</w:t>
            </w:r>
          </w:p>
        </w:tc>
        <w:tc>
          <w:tcPr>
            <w:tcW w:type="dxa" w:w="4320"/>
          </w:tcPr>
          <w:p>
            <w:r>
              <w:t>Signature: ___________________________</w:t>
            </w:r>
          </w:p>
        </w:tc>
      </w:tr>
      <w:tr>
        <w:tc>
          <w:tcPr>
            <w:tcW w:type="dxa" w:w="4320"/>
          </w:tcPr>
          <w:p>
            <w:r>
              <w:t>Name: Dr. James Lim  |  Designation: Chief Financial Officer</w:t>
            </w:r>
          </w:p>
        </w:tc>
        <w:tc>
          <w:tcPr>
            <w:tcW w:type="dxa" w:w="4320"/>
          </w:tcPr>
          <w:p>
            <w:r>
              <w:t>Name: Mr. Rajan Krishnamurthy  |  Designation: Managing Director</w:t>
            </w:r>
          </w:p>
        </w:tc>
      </w:tr>
      <w:tr>
        <w:tc>
          <w:tcPr>
            <w:tcW w:type="dxa" w:w="4320"/>
          </w:tcPr>
          <w:p>
            <w:r>
              <w:t>Date: _______________________________</w:t>
            </w:r>
          </w:p>
        </w:tc>
        <w:tc>
          <w:tcPr>
            <w:tcW w:type="dxa" w:w="4320"/>
          </w:tcPr>
          <w:p>
            <w:r>
              <w:t>Date: _______________________________</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