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28"/>
        </w:rPr>
        <w:t>CONTOSO MEDICAL CENTRE</w:t>
      </w:r>
    </w:p>
    <w:p>
      <w:pPr>
        <w:jc w:val="center"/>
      </w:pPr>
      <w:r>
        <w:rPr>
          <w:b/>
        </w:rPr>
        <w:t>Finance &amp; Procurement Committee — Meeting Transcript</w:t>
      </w:r>
    </w:p>
    <w:p/>
    <w:tbl>
      <w:tblPr>
        <w:tblStyle w:val="TableGrid"/>
        <w:tblW w:type="auto" w:w="0"/>
        <w:tblLook w:firstColumn="1" w:firstRow="1" w:lastColumn="0" w:lastRow="0" w:noHBand="0" w:noVBand="1" w:val="04A0"/>
      </w:tblPr>
      <w:tblGrid>
        <w:gridCol w:w="4320"/>
        <w:gridCol w:w="4320"/>
      </w:tblGrid>
      <w:tr>
        <w:tc>
          <w:tcPr>
            <w:tcW w:type="dxa" w:w="4320"/>
          </w:tcPr>
          <w:p>
            <w:r>
              <w:rPr>
                <w:b/>
              </w:rPr>
              <w:t>Meeting Date:</w:t>
            </w:r>
          </w:p>
        </w:tc>
        <w:tc>
          <w:tcPr>
            <w:tcW w:type="dxa" w:w="4320"/>
          </w:tcPr>
          <w:p>
            <w:r>
              <w:t>Monday, 28 April 2025</w:t>
            </w:r>
          </w:p>
        </w:tc>
      </w:tr>
      <w:tr>
        <w:tc>
          <w:tcPr>
            <w:tcW w:type="dxa" w:w="4320"/>
          </w:tcPr>
          <w:p>
            <w:r>
              <w:rPr>
                <w:b/>
              </w:rPr>
              <w:t>Time:</w:t>
            </w:r>
          </w:p>
        </w:tc>
        <w:tc>
          <w:tcPr>
            <w:tcW w:type="dxa" w:w="4320"/>
          </w:tcPr>
          <w:p>
            <w:r>
              <w:t>2:00 PM – 2:52 PM</w:t>
            </w:r>
          </w:p>
        </w:tc>
      </w:tr>
      <w:tr>
        <w:tc>
          <w:tcPr>
            <w:tcW w:type="dxa" w:w="4320"/>
          </w:tcPr>
          <w:p>
            <w:r>
              <w:rPr>
                <w:b/>
              </w:rPr>
              <w:t>Venue:</w:t>
            </w:r>
          </w:p>
        </w:tc>
        <w:tc>
          <w:tcPr>
            <w:tcW w:type="dxa" w:w="4320"/>
          </w:tcPr>
          <w:p>
            <w:r>
              <w:t>Boardroom 2, Level 6, Main Building</w:t>
            </w:r>
          </w:p>
        </w:tc>
      </w:tr>
      <w:tr>
        <w:tc>
          <w:tcPr>
            <w:tcW w:type="dxa" w:w="4320"/>
          </w:tcPr>
          <w:p>
            <w:r>
              <w:rPr>
                <w:b/>
              </w:rPr>
              <w:t>Chaired by:</w:t>
            </w:r>
          </w:p>
        </w:tc>
        <w:tc>
          <w:tcPr>
            <w:tcW w:type="dxa" w:w="4320"/>
          </w:tcPr>
          <w:p>
            <w:r>
              <w:t>Dr. James Lim, Chief Financial Officer</w:t>
            </w:r>
          </w:p>
        </w:tc>
      </w:tr>
      <w:tr>
        <w:tc>
          <w:tcPr>
            <w:tcW w:type="dxa" w:w="4320"/>
          </w:tcPr>
          <w:p>
            <w:r>
              <w:rPr>
                <w:b/>
              </w:rPr>
              <w:t>Minutes by:</w:t>
            </w:r>
          </w:p>
        </w:tc>
        <w:tc>
          <w:tcPr>
            <w:tcW w:type="dxa" w:w="4320"/>
          </w:tcPr>
          <w:p>
            <w:r>
              <w:t>Linda Hassan, Procurement Manager</w:t>
            </w:r>
          </w:p>
        </w:tc>
      </w:tr>
    </w:tbl>
    <w:p/>
    <w:p>
      <w:pPr>
        <w:pStyle w:val="Heading2"/>
      </w:pPr>
      <w:r>
        <w:rPr>
          <w:color w:val="1E3A5F"/>
        </w:rPr>
        <w:t>ATTENDEES</w:t>
      </w:r>
    </w:p>
    <w:p>
      <w:r>
        <w:t xml:space="preserve">  •  Dr. James Lim — Chief Financial Officer (Chair)</w:t>
      </w:r>
    </w:p>
    <w:p>
      <w:r>
        <w:t xml:space="preserve">  •  Sarah Chen — Finance Manager</w:t>
      </w:r>
    </w:p>
    <w:p>
      <w:r>
        <w:t xml:space="preserve">  •  Michael Lim — Head of Procurement</w:t>
      </w:r>
    </w:p>
    <w:p>
      <w:r>
        <w:t xml:space="preserve">  •  Raymond Tan — Head of Accounts Payable</w:t>
      </w:r>
    </w:p>
    <w:p>
      <w:r>
        <w:t xml:space="preserve">  •  Dr. Priya Nair — Medical Director (joined at 2:15 PM)</w:t>
      </w:r>
    </w:p>
    <w:p>
      <w:r>
        <w:t xml:space="preserve">  •  Kevin Wong — Internal Audit Manager</w:t>
      </w:r>
    </w:p>
    <w:p>
      <w:r>
        <w:t xml:space="preserve">  •  Linda Hassan — Procurement Manager (Minutes)</w:t>
      </w:r>
    </w:p>
    <w:p/>
    <w:p>
      <w:pPr>
        <w:pStyle w:val="Heading2"/>
      </w:pPr>
      <w:r>
        <w:rPr>
          <w:color w:val="1E3A5F"/>
        </w:rPr>
        <w:t>TRANSCRIPT</w:t>
      </w:r>
    </w:p>
    <w:p/>
    <w:p>
      <w:pPr>
        <w:spacing w:after="160"/>
      </w:pPr>
      <w:r>
        <w:rPr>
          <w:b/>
          <w:color w:val="1E3A5F"/>
        </w:rPr>
        <w:t xml:space="preserve">DR. JAMES LIM (Chair):  </w:t>
      </w:r>
      <w:r>
        <w:rPr>
          <w:sz w:val="21"/>
        </w:rPr>
        <w:t>Good afternoon everyone. Let's get started — we have a full agenda today. I want to cover five items: Q1 financial performance, the ultrasound machine tender update, the CleanMed contract renewal, the vendor payment backlog, and the new procurement policy threshold. Sarah, can you kick off with the Q1 numbers?</w:t>
      </w:r>
    </w:p>
    <w:p>
      <w:pPr>
        <w:spacing w:after="160"/>
      </w:pPr>
      <w:r>
        <w:rPr>
          <w:b/>
          <w:color w:val="1E3A5F"/>
        </w:rPr>
        <w:t xml:space="preserve">SARAH CHEN (Finance):  </w:t>
      </w:r>
      <w:r>
        <w:rPr>
          <w:sz w:val="21"/>
        </w:rPr>
        <w:t>Thank you, Dr. Lim. I'll walk us through the Q1 FY2025 results. Overall revenue came in at RM 36.2 million against a target of RM 34.5 million — that's a positive variance of RM 1.7 million, or about 4.9% above target. The outperformance was driven primarily by Oncology, which had higher-than-expected chemo infusion volumes, and Cardiology following the new cath lab opening in January. On the cost side, however, we have some concerns. Total Q1 operating expenditure was RM 5.48 million against a budget of RM 5.12 million — that's RM 360,000 or 7% over budget. Medical Supplies is the biggest problem area — RM 793,000 actual against a budget of RM 650,000, representing a 22% overspend. The primary driver is PPE cost escalation — gloves and surgical masks prices spiked in March due to supply chain disruptions. Pharmacy is also over by 14%, largely due to three specialty oncology drugs added to the formulary in February that weren't budgeted.</w:t>
      </w:r>
    </w:p>
    <w:p>
      <w:pPr>
        <w:spacing w:after="160"/>
      </w:pPr>
      <w:r>
        <w:rPr>
          <w:b/>
          <w:color w:val="1E3A5F"/>
        </w:rPr>
        <w:t xml:space="preserve">DR. JAMES LIM:  </w:t>
      </w:r>
      <w:r>
        <w:rPr>
          <w:sz w:val="21"/>
        </w:rPr>
        <w:t>That RM 143,000 overspend in Medical Supplies is unacceptable at this run rate. Are we expecting improvement in Q2?</w:t>
      </w:r>
    </w:p>
    <w:p>
      <w:pPr>
        <w:spacing w:after="160"/>
      </w:pPr>
      <w:r>
        <w:rPr>
          <w:b/>
          <w:color w:val="1E3A5F"/>
        </w:rPr>
        <w:t xml:space="preserve">SARAH CHEN:  </w:t>
      </w:r>
      <w:r>
        <w:rPr>
          <w:sz w:val="21"/>
        </w:rPr>
        <w:t>We are seeing some normalisation in gloves pricing in April — down about 8% from the March peak. However, I'm recommending we put Medical Supplies under a monthly watch with mandatory HOD sign-off for any purchase above RM 5,000 until we get the variance under control. I'll circulate a formal note to the HODs by end of week.</w:t>
      </w:r>
    </w:p>
    <w:p>
      <w:pPr>
        <w:spacing w:after="160"/>
      </w:pPr>
      <w:r>
        <w:rPr>
          <w:b/>
          <w:color w:val="1E3A5F"/>
        </w:rPr>
        <w:t xml:space="preserve">RAYMOND TAN (Accounts Payable):  </w:t>
      </w:r>
      <w:r>
        <w:rPr>
          <w:sz w:val="21"/>
        </w:rPr>
        <w:t>I'd like to flag that Pharmacy's overspend is also linked to a timing issue — two large specialty drug invoices totalling RM 68,000 were paid in Q1 that were budgeted for Q2. If we adjust for that, the Pharmacy variance is closer to 7% rather than 14%. I'll ensure the accruals are correct in next month's report.</w:t>
      </w:r>
    </w:p>
    <w:p>
      <w:pPr>
        <w:spacing w:after="160"/>
      </w:pPr>
      <w:r>
        <w:rPr>
          <w:b/>
          <w:color w:val="1E3A5F"/>
        </w:rPr>
        <w:t xml:space="preserve">DR. JAMES LIM:  </w:t>
      </w:r>
      <w:r>
        <w:rPr>
          <w:sz w:val="21"/>
        </w:rPr>
        <w:t>Good clarification Raymond. Moving to agenda item 2 — Michael, please update us on the ultrasound tender.</w:t>
      </w:r>
    </w:p>
    <w:p>
      <w:pPr>
        <w:spacing w:after="160"/>
      </w:pPr>
      <w:r>
        <w:rPr>
          <w:b/>
          <w:color w:val="1E3A5F"/>
        </w:rPr>
        <w:t xml:space="preserve">MICHAEL LIM (Procurement):  </w:t>
      </w:r>
      <w:r>
        <w:rPr>
          <w:sz w:val="21"/>
        </w:rPr>
        <w:t>Thank you Dr. Lim. We received five compliant bids for Tender CMC/PROC/2025/014 for two units of portable ultrasound machines. I'll summarise the key numbers. The bids ranged from RM 145,000 per unit from Mindray Medical in China to RM 225,000 per unit from Philips Healthcare. When we apply the 3-year total cost of ownership model — unit cost plus three years of annual maintenance — the ranking changes significantly. Mindray is lowest at approximately RM 317,000 for two units over three years, while Philips is highest at RM 510,000. Our internal evaluation using the weighted scoring matrix — which weights price at 35%, technical compliance at 25%, delivery lead time at 20%, warranty and support at 15%, and local support presence at 5% — puts MedTech Solutions and Siemens Healthineers as the top two vendors. Mindray scored lowest overall despite the price advantage, primarily because they have no local support office in Malaysia and their technical compliance score was only 7.5 out of 10. My recommendation is to shortlist MedTech and Siemens for final negotiation.</w:t>
      </w:r>
    </w:p>
    <w:p>
      <w:pPr>
        <w:spacing w:after="160"/>
      </w:pPr>
      <w:r>
        <w:rPr>
          <w:b/>
          <w:color w:val="1E3A5F"/>
        </w:rPr>
        <w:t xml:space="preserve">DR. PRIYA NAIR (Medical Director, joining):  </w:t>
      </w:r>
      <w:r>
        <w:rPr>
          <w:sz w:val="21"/>
        </w:rPr>
        <w:t>Sorry for joining late — I caught the tail end. Michael, can you confirm whether Siemens' unit meets the AI-assisted imaging specification we need for the oncology department?</w:t>
      </w:r>
    </w:p>
    <w:p>
      <w:pPr>
        <w:spacing w:after="160"/>
      </w:pPr>
      <w:r>
        <w:rPr>
          <w:b/>
          <w:color w:val="1E3A5F"/>
        </w:rPr>
        <w:t xml:space="preserve">MICHAEL LIM:  </w:t>
      </w:r>
      <w:r>
        <w:rPr>
          <w:sz w:val="21"/>
        </w:rPr>
        <w:t>Yes Dr. Nair — Siemens scored 9.5 out of 10 on technical compliance. The AI-assisted tissue characterisation module is included in their base quote. GE Healthcare also meets this requirement at 9.0. MedTech's unit does not include AI features but meets the standard clinical imaging specification. If the oncology AI feature is a clinical necessity, that would favour Siemens or GE.</w:t>
      </w:r>
    </w:p>
    <w:p>
      <w:pPr>
        <w:spacing w:after="160"/>
      </w:pPr>
      <w:r>
        <w:rPr>
          <w:b/>
          <w:color w:val="1E3A5F"/>
        </w:rPr>
        <w:t xml:space="preserve">DR. PRIYA NAIR:  </w:t>
      </w:r>
      <w:r>
        <w:rPr>
          <w:sz w:val="21"/>
        </w:rPr>
        <w:t>I would strongly recommend we prioritise the AI imaging capability. It directly impacts our diagnostic accuracy and is already part of our oncology accreditation roadmap.</w:t>
      </w:r>
    </w:p>
    <w:p>
      <w:pPr>
        <w:spacing w:after="160"/>
      </w:pPr>
      <w:r>
        <w:rPr>
          <w:b/>
          <w:color w:val="1E3A5F"/>
        </w:rPr>
        <w:t xml:space="preserve">KEVIN WONG (Internal Audit):  </w:t>
      </w:r>
      <w:r>
        <w:rPr>
          <w:sz w:val="21"/>
        </w:rPr>
        <w:t>I need to raise a process point. The total contract value for two Siemens units with a three-year maintenance agreement would exceed RM 300,000. Under our current procurement policy, any single award above RM 300,000 requires Board approval. The executive committee cannot approve this at the committee level. We need to table it to the Board at the May meeting.</w:t>
      </w:r>
    </w:p>
    <w:p>
      <w:pPr>
        <w:spacing w:after="160"/>
      </w:pPr>
      <w:r>
        <w:rPr>
          <w:b/>
          <w:color w:val="1E3A5F"/>
        </w:rPr>
        <w:t xml:space="preserve">DR. JAMES LIM:  </w:t>
      </w:r>
      <w:r>
        <w:rPr>
          <w:sz w:val="21"/>
        </w:rPr>
        <w:t>Kevin is correct. Michael, please prepare a Board paper for the May Board meeting on 15 May. Include the full evaluation summary, shortlisted vendors, and a recommendation with justification. We'll target a Board decision by 15 May and PO issuance by end of May to meet the June clinical deployment timeline. Action: Michael to prepare Board paper by 9 May.</w:t>
      </w:r>
    </w:p>
    <w:p>
      <w:pPr>
        <w:spacing w:after="160"/>
      </w:pPr>
      <w:r>
        <w:rPr>
          <w:b/>
          <w:color w:val="1E3A5F"/>
        </w:rPr>
        <w:t xml:space="preserve">MICHAEL LIM:  </w:t>
      </w:r>
      <w:r>
        <w:rPr>
          <w:sz w:val="21"/>
        </w:rPr>
        <w:t>Understood. I'll have the Board paper ready by Friday 9 May.</w:t>
      </w:r>
    </w:p>
    <w:p>
      <w:pPr>
        <w:spacing w:after="160"/>
      </w:pPr>
      <w:r>
        <w:rPr>
          <w:b/>
          <w:color w:val="1E3A5F"/>
        </w:rPr>
        <w:t xml:space="preserve">DR. JAMES LIM:  </w:t>
      </w:r>
      <w:r>
        <w:rPr>
          <w:sz w:val="21"/>
        </w:rPr>
        <w:t>Item 3 — CleanMed contract renewal. Linda, this is yours.</w:t>
      </w:r>
    </w:p>
    <w:p>
      <w:pPr>
        <w:spacing w:after="160"/>
      </w:pPr>
      <w:r>
        <w:rPr>
          <w:b/>
          <w:color w:val="1E3A5F"/>
        </w:rPr>
        <w:t xml:space="preserve">LINDA HASSAN (Procurement):  </w:t>
      </w:r>
      <w:r>
        <w:rPr>
          <w:sz w:val="21"/>
        </w:rPr>
        <w:t>Thank you. The CleanMed Services linen and laundry contract expires on 31 May 2025. We've been reviewing the draft renewal contract and there are three clauses I want to flag to the committee. First, the payment terms have moved from Net-30 to Net-45. While this provides us slightly more cash flow flexibility, it goes against our standard vendor terms and could affect CleanMed's willingness to negotiate on price. Second — and this is the most significant concern — the price escalation clause provides for an automatic 8% annual increase. Over a 24-month renewal, this takes our monthly fee from RM 50,000 to RM 58,320 by year two. The industry standard for hospital services is 4% to 5% annually. I am recommending we negotiate this clause to a maximum of 5% per year, benchmarked against CPI. Third, the liability cap is set at one month's fee — RM 50,000. Given that a single infection control breach in an operating theatre could result in patient harm and significant regulatory and reputational consequences, this cap is too low. I would recommend a minimum of six months' fees or RM 300,000.</w:t>
      </w:r>
    </w:p>
    <w:p>
      <w:pPr>
        <w:spacing w:after="160"/>
      </w:pPr>
      <w:r>
        <w:rPr>
          <w:b/>
          <w:color w:val="1E3A5F"/>
        </w:rPr>
        <w:t xml:space="preserve">DR. JAMES LIM:  </w:t>
      </w:r>
      <w:r>
        <w:rPr>
          <w:sz w:val="21"/>
        </w:rPr>
        <w:t>Those are very valid concerns Linda. I agree we should push back on all three. The 8% escalation is the most material one — I'm comfortable agreeing up to 5% with a CPI benchmark clause. On the liability cap, our legal team should review what's commercially reasonable. Raymond, can the Finance team model out the cost impact of 5% versus 8% over the full 24-month term?</w:t>
      </w:r>
    </w:p>
    <w:p>
      <w:pPr>
        <w:spacing w:after="160"/>
      </w:pPr>
      <w:r>
        <w:rPr>
          <w:b/>
          <w:color w:val="1E3A5F"/>
        </w:rPr>
        <w:t xml:space="preserve">RAYMOND TAN:  </w:t>
      </w:r>
      <w:r>
        <w:rPr>
          <w:sz w:val="21"/>
        </w:rPr>
        <w:t>Certainly. At 5% annual escalation, the total contract cost over 24 months would be approximately RM 1,230,000. At 8%, it would be RM 1,283,040. That's a difference of RM 53,040 over two years. I'll prepare a cost comparison table for Linda to use in the negotiation.</w:t>
      </w:r>
    </w:p>
    <w:p>
      <w:pPr>
        <w:spacing w:after="160"/>
      </w:pPr>
      <w:r>
        <w:rPr>
          <w:b/>
          <w:color w:val="1E3A5F"/>
        </w:rPr>
        <w:t xml:space="preserve">LINDA HASSAN:  </w:t>
      </w:r>
      <w:r>
        <w:rPr>
          <w:sz w:val="21"/>
        </w:rPr>
        <w:t>Thank you Raymond. I'll schedule a negotiation meeting with CleanMed for the week of 5 May. Action: Negotiation to be completed and revised contract signed by 23 May to allow for proper handover before 31 May expiry.</w:t>
      </w:r>
    </w:p>
    <w:p>
      <w:pPr>
        <w:spacing w:after="160"/>
      </w:pPr>
      <w:r>
        <w:rPr>
          <w:b/>
          <w:color w:val="1E3A5F"/>
        </w:rPr>
        <w:t xml:space="preserve">DR. JAMES LIM:  </w:t>
      </w:r>
      <w:r>
        <w:rPr>
          <w:sz w:val="21"/>
        </w:rPr>
        <w:t>Good. Item 4 — vendor payment backlog. Raymond, this is a recurring issue and I want a frank discussion today.</w:t>
      </w:r>
    </w:p>
    <w:p>
      <w:pPr>
        <w:spacing w:after="160"/>
      </w:pPr>
      <w:r>
        <w:rPr>
          <w:b/>
          <w:color w:val="1E3A5F"/>
        </w:rPr>
        <w:t xml:space="preserve">RAYMOND TAN:  </w:t>
      </w:r>
      <w:r>
        <w:rPr>
          <w:sz w:val="21"/>
        </w:rPr>
        <w:t>I'll be direct about the severity of the situation. As of today we have 18 overdue vendor invoices totalling RM 3.2 million. The oldest invoice is 87 days outstanding — well beyond our standard 30-day terms. The most critical is Pharmaniaga Berhad, our primary pharmaceutical distributor, with RM 1.4 million outstanding across 6 invoices. They have formally notified us that if payment is not received by 5 May, they will place our account on credit hold, which would disrupt supply of critical medications including chemotherapy drugs. The root cause is a combination of three factors: the month-end invoice processing backlog in my team, two invoices totalling RM 480,000 being held pending approval from the HOD of Pharmacy who has been on medical leave, and a systems issue with our AP module that caused duplicate invoice alerts to be incorrectly flagged, delaying processing.</w:t>
      </w:r>
    </w:p>
    <w:p>
      <w:pPr>
        <w:spacing w:after="160"/>
      </w:pPr>
      <w:r>
        <w:rPr>
          <w:b/>
          <w:color w:val="1E3A5F"/>
        </w:rPr>
        <w:t xml:space="preserve">SARAH CHEN:  </w:t>
      </w:r>
      <w:r>
        <w:rPr>
          <w:sz w:val="21"/>
        </w:rPr>
        <w:t>I'd like to propose an emergency payment run specifically for Pharmaniaga by 1 May — two days from now — to prevent the credit hold. The RM 1.4 million is within the CFO approval threshold so we don't need Board sign-off. Dr. Lim, with your approval, I can instruct the bank to process this tomorrow morning.</w:t>
      </w:r>
    </w:p>
    <w:p>
      <w:pPr>
        <w:spacing w:after="160"/>
      </w:pPr>
      <w:r>
        <w:rPr>
          <w:b/>
          <w:color w:val="1E3A5F"/>
        </w:rPr>
        <w:t xml:space="preserve">DR. JAMES LIM:  </w:t>
      </w:r>
      <w:r>
        <w:rPr>
          <w:sz w:val="21"/>
        </w:rPr>
        <w:t>Approved. Sarah, please arrange the Pharmaniaga payment by 1 May. Raymond, I want a full aged creditors report on my desk by Thursday 1 May showing all invoices over 45 days, the reason for the delay, and the proposed clearance date for each. And Kevin — I'd like Internal Audit to review the AP process and the duplicate invoice controls. Can you give me a preliminary findings report within two weeks?</w:t>
      </w:r>
    </w:p>
    <w:p>
      <w:pPr>
        <w:spacing w:after="160"/>
      </w:pPr>
      <w:r>
        <w:rPr>
          <w:b/>
          <w:color w:val="1E3A5F"/>
        </w:rPr>
        <w:t xml:space="preserve">KEVIN WONG:  </w:t>
      </w:r>
      <w:r>
        <w:rPr>
          <w:sz w:val="21"/>
        </w:rPr>
        <w:t>Understood Dr. Lim. I'll initiate a targeted review of the AP process and the invoice approval delegation. Preliminary findings by 14 May.</w:t>
      </w:r>
    </w:p>
    <w:p>
      <w:pPr>
        <w:spacing w:after="160"/>
      </w:pPr>
      <w:r>
        <w:rPr>
          <w:b/>
          <w:color w:val="1E3A5F"/>
        </w:rPr>
        <w:t xml:space="preserve">DR. JAMES LIM:  </w:t>
      </w:r>
      <w:r>
        <w:rPr>
          <w:sz w:val="21"/>
        </w:rPr>
        <w:t>Final item — procurement policy update. Michael.</w:t>
      </w:r>
    </w:p>
    <w:p>
      <w:pPr>
        <w:spacing w:after="160"/>
      </w:pPr>
      <w:r>
        <w:rPr>
          <w:b/>
          <w:color w:val="1E3A5F"/>
        </w:rPr>
        <w:t xml:space="preserve">MICHAEL LIM:  </w:t>
      </w:r>
      <w:r>
        <w:rPr>
          <w:sz w:val="21"/>
        </w:rPr>
        <w:t>This is a straightforward update. Following the internal review conducted in Q4 2024, the new competitive quotation threshold is being raised from RM 10,000 to RM 20,000. This means purchases between RM 10,000 and RM 20,000 will now require a minimum of three written quotations rather than one. The policy change takes effect 1 July 2025, giving departments two months to adapt their workflows. For clarity: the direct award threshold remains at RM 5,000, and purchases above RM 20,000 continue to require open tender. The split-purchase prohibition — which explicitly prohibits splitting a single purchase across multiple POs to avoid the approval threshold — has been strengthened with clear disciplinary consequences. The updated Finance &amp; Procurement Policy Manual version 3.2 will be distributed to all HODs by 15 May.</w:t>
      </w:r>
    </w:p>
    <w:p>
      <w:pPr>
        <w:spacing w:after="160"/>
      </w:pPr>
      <w:r>
        <w:rPr>
          <w:b/>
          <w:color w:val="1E3A5F"/>
        </w:rPr>
        <w:t xml:space="preserve">DR. JAMES LIM:  </w:t>
      </w:r>
      <w:r>
        <w:rPr>
          <w:sz w:val="21"/>
        </w:rPr>
        <w:t>Thank you Michael. I want to make sure HODs understand that split purchasing is now a disciplinary matter — not just a process deviation. Sarah, can you include a specific note on this in the HOD communication you're sending this week?</w:t>
      </w:r>
    </w:p>
    <w:p>
      <w:pPr>
        <w:spacing w:after="160"/>
      </w:pPr>
      <w:r>
        <w:rPr>
          <w:b/>
          <w:color w:val="1E3A5F"/>
        </w:rPr>
        <w:t xml:space="preserve">SARAH CHEN:  </w:t>
      </w:r>
      <w:r>
        <w:rPr>
          <w:sz w:val="21"/>
        </w:rPr>
        <w:t>Will do. I'll highlight both the new quotation threshold and the split-purchase prohibition in the HOD circular.</w:t>
      </w:r>
    </w:p>
    <w:p>
      <w:pPr>
        <w:spacing w:after="160"/>
      </w:pPr>
      <w:r>
        <w:rPr>
          <w:b/>
          <w:color w:val="1E3A5F"/>
        </w:rPr>
        <w:t xml:space="preserve">DR. JAMES LIM:  </w:t>
      </w:r>
      <w:r>
        <w:rPr>
          <w:sz w:val="21"/>
        </w:rPr>
        <w:t>Good. Let me summarise the key decisions and actions from today's meeting. First, Medical Supplies to be placed under monthly watch — Sarah to issue HOD circular by end of week. Second, ultrasound tender shortlisted to MedTech and Siemens — Michael to prepare Board paper by 9 May for Board decision on 15 May. Third, CleanMed contract negotiation — Linda to negotiate 5% escalation cap and revised liability clause, negotiation complete by 16 May, contract signed by 23 May. Fourth, Pharmaniaga emergency payment — Sarah to process by 1 May. Fifth, aged creditors report — Raymond to submit by 1 May, Kevin to complete AP process review by 14 May. Sixth, new procurement policy threshold effective 1 July 2025 — HOD circular to include split-purchase disciplinary notice. Any other business?</w:t>
      </w:r>
    </w:p>
    <w:p>
      <w:pPr>
        <w:spacing w:after="160"/>
      </w:pPr>
      <w:r>
        <w:rPr>
          <w:b/>
          <w:color w:val="1E3A5F"/>
        </w:rPr>
        <w:t xml:space="preserve">KEVIN WONG:  </w:t>
      </w:r>
      <w:r>
        <w:rPr>
          <w:sz w:val="21"/>
        </w:rPr>
        <w:t>Just a reminder that the Q1 Internal Audit report on operating theatre equipment maintenance is due for committee review at the June meeting. I'll circulate the draft by 16 May for comments.</w:t>
      </w:r>
    </w:p>
    <w:p>
      <w:pPr>
        <w:spacing w:after="160"/>
      </w:pPr>
      <w:r>
        <w:rPr>
          <w:b/>
          <w:color w:val="1E3A5F"/>
        </w:rPr>
        <w:t xml:space="preserve">DR. JAMES LIM:  </w:t>
      </w:r>
      <w:r>
        <w:rPr>
          <w:sz w:val="21"/>
        </w:rPr>
        <w:t>Noted. Thank you everyone. Meeting adjourned at 2:52 PM.</w:t>
      </w:r>
    </w:p>
    <w:p/>
    <w:p>
      <w:r>
        <w:rPr>
          <w:b w:val="0"/>
          <w:i/>
          <w:sz w:val="22"/>
        </w:rPr>
        <w:t>[END OF TRANSCRIPT — 28 April 2025, 2:52 PM]</w:t>
      </w:r>
    </w:p>
    <w:p>
      <w:r>
        <w:rPr>
          <w:b w:val="0"/>
          <w:i/>
          <w:sz w:val="22"/>
        </w:rPr>
        <w:t>Transcript prepared by: Linda Hassan, Procurement Manager</w:t>
      </w:r>
    </w:p>
    <w:p>
      <w:r>
        <w:rPr>
          <w:b w:val="0"/>
          <w:i/>
          <w:sz w:val="22"/>
        </w:rPr>
        <w:t>Distribution: All Attendees, Company Secretary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