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2"/>
        </w:rPr>
        <w:t>CONTOSO MEDICAL CENTRE SDN BHD</w:t>
      </w:r>
    </w:p>
    <w:p>
      <w:pPr>
        <w:jc w:val="center"/>
      </w:pPr>
      <w:r>
        <w:rPr>
          <w:b/>
        </w:rPr>
        <w:t>FINANCE &amp; PROCUREMENT DEPARTMENT POLICY MANUAL</w:t>
      </w:r>
    </w:p>
    <w:p>
      <w:pPr>
        <w:jc w:val="center"/>
      </w:pPr>
      <w:r>
        <w:rPr>
          <w:i/>
          <w:color w:val="64748B"/>
        </w:rPr>
        <w:t>Version 3.2  |  Effective Date: 1 January 2025  |  Approved by: Board of Directors</w:t>
      </w:r>
    </w:p>
    <w:p/>
    <w:p/>
    <w:p>
      <w:pPr>
        <w:pStyle w:val="Heading1"/>
      </w:pPr>
      <w:r>
        <w:rPr>
          <w:color w:val="1E3A5F"/>
        </w:rPr>
        <w:t>PART A — FINANCE POLICIES</w:t>
      </w:r>
    </w:p>
    <w:p/>
    <w:p>
      <w:pPr>
        <w:pStyle w:val="Heading2"/>
      </w:pPr>
      <w:r>
        <w:rPr>
          <w:color w:val="0284C7"/>
        </w:rPr>
        <w:t>1. EXPENSE CLAIMS POLICY</w:t>
      </w:r>
    </w:p>
    <w:p>
      <w:r>
        <w:rPr>
          <w:b/>
          <w:color w:val="1E3A5F"/>
        </w:rPr>
        <w:t xml:space="preserve">1.1 Purpose    </w:t>
      </w:r>
    </w:p>
    <w:p>
      <w:r>
        <w:t>This policy governs the process for submission, approval, and reimbursement of business expenses incurred by Contoso Medical Centre employees in the performance of their official duties.</w:t>
      </w:r>
    </w:p>
    <w:p>
      <w:r>
        <w:rPr>
          <w:b/>
          <w:color w:val="1E3A5F"/>
        </w:rPr>
        <w:t xml:space="preserve">1.2 Submission Deadline    </w:t>
      </w:r>
    </w:p>
    <w:p>
      <w:r>
        <w:t>All expense claims must be submitted by the 15th of each calendar month for expenses incurred in the preceding month. Claims submitted after the 15th will be processed in the following month's payment cycle. No exceptions will be made for claims older than three (3) months from the date the expense was incurred.</w:t>
      </w:r>
    </w:p>
    <w:p>
      <w:r>
        <w:rPr>
          <w:b/>
          <w:color w:val="1E3A5F"/>
        </w:rPr>
        <w:t xml:space="preserve">1.3 Eligible Expenses    </w:t>
      </w:r>
    </w:p>
    <w:p>
      <w:r>
        <w:t>Eligible expenses include: business travel (economy class for domestic, business class only for international flights above 6 hours), client entertainment (maximum RM 300 per person per occasion with prior HOD approval), professional training and conference registration, and departmental operational expenses with prior budget approval.</w:t>
      </w:r>
    </w:p>
    <w:p>
      <w:r>
        <w:rPr>
          <w:b/>
          <w:color w:val="1E3A5F"/>
        </w:rPr>
        <w:t xml:space="preserve">1.4 Approval Thresholds    </w:t>
      </w:r>
    </w:p>
    <w:p>
      <w:r>
        <w:t>Expense claims shall be approved according to the following delegation of authority:</w:t>
        <w:br/>
        <w:t xml:space="preserve">  •  Up to RM 500: Auto-approved via system upon submission</w:t>
        <w:br/>
        <w:t xml:space="preserve">  •  RM 501 to RM 2,000: Immediate Supervisor approval required</w:t>
        <w:br/>
        <w:t xml:space="preserve">  •  RM 2,001 to RM 10,000: HOD and Finance Manager joint approval required</w:t>
        <w:br/>
        <w:t xml:space="preserve">  •  Above RM 10,000: CFO approval required</w:t>
      </w:r>
    </w:p>
    <w:p>
      <w:r>
        <w:rPr>
          <w:b/>
          <w:color w:val="1E3A5F"/>
        </w:rPr>
        <w:t xml:space="preserve">1.5 Reimbursement    </w:t>
      </w:r>
    </w:p>
    <w:p>
      <w:r>
        <w:t>Approved expense claims will be reimbursed within ten (10) business days of approval via direct bank transfer to the employee's registered payroll account. All claims must be supported by original receipts or e-invoices. Claims without receipts will not be processed.</w:t>
      </w:r>
    </w:p>
    <w:p/>
    <w:p>
      <w:pPr>
        <w:pStyle w:val="Heading2"/>
      </w:pPr>
      <w:r>
        <w:rPr>
          <w:color w:val="0284C7"/>
        </w:rPr>
        <w:t>2. CAPITAL EXPENDITURE (CAPEX) POLICY</w:t>
      </w:r>
    </w:p>
    <w:p>
      <w:r>
        <w:rPr>
          <w:b/>
          <w:color w:val="1E3A5F"/>
        </w:rPr>
        <w:t xml:space="preserve">2.1 Definition    </w:t>
      </w:r>
    </w:p>
    <w:p>
      <w:r>
        <w:t>Capital expenditure is defined as any acquisition of assets with an individual value exceeding RM 5,000 and an expected useful life of more than one (1) year. This includes medical equipment, IT infrastructure, furniture, vehicles, and leasehold improvements.</w:t>
      </w:r>
    </w:p>
    <w:p>
      <w:r>
        <w:rPr>
          <w:b/>
          <w:color w:val="1E3A5F"/>
        </w:rPr>
        <w:t xml:space="preserve">2.2 CapEx Approval Thresholds    </w:t>
      </w:r>
    </w:p>
    <w:p>
      <w:r>
        <w:t>CapEx proposals shall be approved according to the following authority levels:</w:t>
        <w:br/>
        <w:t xml:space="preserve">  •  RM 5,001 to RM 50,000: Department HOD approval</w:t>
        <w:br/>
        <w:t xml:space="preserve">  •  RM 50,001 to RM 100,000: CFO approval</w:t>
        <w:br/>
        <w:t xml:space="preserve">  •  Above RM 100,000: Board of Directors approval required</w:t>
        <w:br/>
        <w:t xml:space="preserve">  All CapEx above RM 50,000 requires a formal Business Case submission including clinical justification, ROI analysis, and three comparative quotations.</w:t>
      </w:r>
    </w:p>
    <w:p>
      <w:r>
        <w:rPr>
          <w:b/>
          <w:color w:val="1E3A5F"/>
        </w:rPr>
        <w:t xml:space="preserve">2.3 Business Case Requirements    </w:t>
      </w:r>
    </w:p>
    <w:p>
      <w:r>
        <w:t>A CapEx Business Case must include: clinical or operational justification, total cost of ownership analysis (minimum 3-year projection), impact on revenue or cost savings, three quotations or proof of sole-source justification, and an implementation timeline with key milestones.</w:t>
      </w:r>
    </w:p>
    <w:p>
      <w:r>
        <w:rPr>
          <w:b/>
          <w:color w:val="1E3A5F"/>
        </w:rPr>
        <w:t xml:space="preserve">2.4 Depreciation Policy    </w:t>
      </w:r>
    </w:p>
    <w:p>
      <w:r>
        <w:t>All capitalised assets shall be depreciated on a straight-line basis over their estimated useful lives: Medical equipment 5–10 years; IT equipment 3–5 years; Furniture and fittings 5 years; Motor vehicles 5 years; Leasehold improvements over lease period.</w:t>
      </w:r>
    </w:p>
    <w:p/>
    <w:p>
      <w:pPr>
        <w:pStyle w:val="Heading2"/>
      </w:pPr>
      <w:r>
        <w:rPr>
          <w:color w:val="0284C7"/>
        </w:rPr>
        <w:t>3. BUDGET MANAGEMENT POLICY</w:t>
      </w:r>
    </w:p>
    <w:p>
      <w:r>
        <w:rPr>
          <w:b/>
          <w:color w:val="1E3A5F"/>
        </w:rPr>
        <w:t xml:space="preserve">3.1 Budget Cycle    </w:t>
      </w:r>
    </w:p>
    <w:p>
      <w:r>
        <w:t>The annual budget process commences in September each year. Departmental budget submissions are due by 15 October. Finance consolidation is completed by 31 October. Executive review and revision occurs in November. The final budget is presented to the Board for approval at the December Board meeting and takes effect on 1 January.</w:t>
      </w:r>
    </w:p>
    <w:p>
      <w:r>
        <w:rPr>
          <w:b/>
          <w:color w:val="1E3A5F"/>
        </w:rPr>
        <w:t xml:space="preserve">3.2 Budget Revisions    </w:t>
      </w:r>
    </w:p>
    <w:p>
      <w:r>
        <w:t>Mid-year budget revisions may be requested via formal submission to Finance by 30 June. Revisions must be supported by written justification and CFO approval. A maximum of two formal revision rounds per year are permitted.</w:t>
      </w:r>
    </w:p>
    <w:p>
      <w:r>
        <w:rPr>
          <w:b/>
          <w:color w:val="1E3A5F"/>
        </w:rPr>
        <w:t xml:space="preserve">3.3 Virement Rules    </w:t>
      </w:r>
    </w:p>
    <w:p>
      <w:r>
        <w:t>Department heads may request budget virement (transfer between cost lines within the same department) subject to the following rules: Virements within the same cost centre require HOD approval only; Virements between cost centres require CFO approval; No virement is permitted to increase the total departmental budget envelope.</w:t>
      </w:r>
    </w:p>
    <w:p>
      <w:r>
        <w:rPr>
          <w:b/>
          <w:color w:val="1E3A5F"/>
        </w:rPr>
        <w:t xml:space="preserve">3.4 Budget Freeze    </w:t>
      </w:r>
    </w:p>
    <w:p>
      <w:r>
        <w:t>The Finance Department may declare a budget freeze period when aggregate spending exceeds 110% of year-to-date budget. During a freeze, all non-essential expenditure above RM 1,000 requires CFO pre-approval.</w:t>
      </w:r>
    </w:p>
    <w:p/>
    <w:p>
      <w:pPr>
        <w:pStyle w:val="Heading2"/>
      </w:pPr>
      <w:r>
        <w:rPr>
          <w:color w:val="0284C7"/>
        </w:rPr>
        <w:t>4. VENDOR PAYMENT POLICY</w:t>
      </w:r>
    </w:p>
    <w:p>
      <w:r>
        <w:rPr>
          <w:b/>
          <w:color w:val="1E3A5F"/>
        </w:rPr>
        <w:t xml:space="preserve">4.1 Standard Payment Terms    </w:t>
      </w:r>
    </w:p>
    <w:p>
      <w:r>
        <w:t>Contoso Medical Centre's standard payment terms for all vendor invoices are thirty (30) calendar days from the date of invoice receipt (Net-30), unless otherwise agreed in writing in a signed vendor contract.</w:t>
      </w:r>
    </w:p>
    <w:p>
      <w:r>
        <w:rPr>
          <w:b/>
          <w:color w:val="1E3A5F"/>
        </w:rPr>
        <w:t xml:space="preserve">4.2 Invoice Requirements    </w:t>
      </w:r>
    </w:p>
    <w:p>
      <w:r>
        <w:t>To be accepted for processing, all vendor invoices must include: CMC purchase order number, vendor registration number (SSM), GST/SST registration number (if applicable), itemised description of goods or services, unit price and total amount, bank account details, and vendor authorised signatory.</w:t>
      </w:r>
    </w:p>
    <w:p>
      <w:r>
        <w:rPr>
          <w:b/>
          <w:color w:val="1E3A5F"/>
        </w:rPr>
        <w:t xml:space="preserve">4.3 Payment Runs    </w:t>
      </w:r>
    </w:p>
    <w:p>
      <w:r>
        <w:t>Accounts Payable processes vendor payments twice weekly: Tuesday and Friday. Invoices approved by the Monday close of business will be included in the Tuesday payment run. Invoices approved by Thursday close of business will be included in the Friday payment run.</w:t>
      </w:r>
    </w:p>
    <w:p>
      <w:r>
        <w:rPr>
          <w:b/>
          <w:color w:val="1E3A5F"/>
        </w:rPr>
        <w:t xml:space="preserve">4.4 Disputed Invoices    </w:t>
      </w:r>
    </w:p>
    <w:p>
      <w:r>
        <w:t>If an invoice is disputed, the Accounts Payable team shall notify the vendor within five (5) business days of receipt stating the reason for dispute. The payment clock shall pause from the date of dispute notification and restart once the dispute is resolved. All disputes must be resolved within thirty (30) days.</w:t>
      </w:r>
    </w:p>
    <w:p/>
    <w:p>
      <w:pPr>
        <w:pStyle w:val="Heading1"/>
      </w:pPr>
      <w:r>
        <w:rPr>
          <w:color w:val="1E3A5F"/>
        </w:rPr>
        <w:t>PART B — PROCUREMENT POLICIES</w:t>
      </w:r>
    </w:p>
    <w:p/>
    <w:p>
      <w:pPr>
        <w:pStyle w:val="Heading2"/>
      </w:pPr>
      <w:r>
        <w:rPr>
          <w:color w:val="0284C7"/>
        </w:rPr>
        <w:t>5. PROCUREMENT THRESHOLDS AND APPROVAL AUTHORITY</w:t>
      </w:r>
    </w:p>
    <w:p>
      <w:r>
        <w:rPr>
          <w:b/>
          <w:color w:val="1E3A5F"/>
        </w:rPr>
        <w:t xml:space="preserve">5.1 Procurement Method by Value    </w:t>
      </w:r>
    </w:p>
    <w:p>
      <w:r>
        <w:t>All procurement of goods and services shall follow the appropriate procurement method based on estimated value:</w:t>
        <w:br/>
        <w:t xml:space="preserve">  •  Below RM 5,000: Direct award — no quotation required; HOD approval</w:t>
        <w:br/>
        <w:t xml:space="preserve">  •  RM 5,001 to RM 10,000: Minimum one (1) written quotation; HOD approval</w:t>
        <w:br/>
        <w:t xml:space="preserve">  •  RM 10,001 to RM 20,000: Minimum three (3) written quotations; HOD + Procurement approval</w:t>
        <w:br/>
        <w:t xml:space="preserve">  •  Above RM 20,000: Open tender or restricted tender; Procurement Committee approval</w:t>
        <w:br/>
        <w:t xml:space="preserve">  •  Above RM 300,000: Board approval required</w:t>
      </w:r>
    </w:p>
    <w:p>
      <w:r>
        <w:rPr>
          <w:b/>
          <w:color w:val="1E3A5F"/>
        </w:rPr>
        <w:t xml:space="preserve">5.2 Sole Source Justification    </w:t>
      </w:r>
    </w:p>
    <w:p>
      <w:r>
        <w:t>Direct award above RM 5,000 without competitive quotation is only permitted where: only one qualified supplier exists in the market, urgent clinical need exists and delay would cause patient harm (documented by Medical Director), or where standardisation with existing equipment is technically mandatory. All sole-source awards must be documented, justified, and approved by the CFO.</w:t>
      </w:r>
    </w:p>
    <w:p/>
    <w:p>
      <w:pPr>
        <w:pStyle w:val="Heading2"/>
      </w:pPr>
      <w:r>
        <w:rPr>
          <w:color w:val="0284C7"/>
        </w:rPr>
        <w:t>6. PURCHASE ORDER POLICY</w:t>
      </w:r>
    </w:p>
    <w:p>
      <w:r>
        <w:rPr>
          <w:b/>
          <w:color w:val="1E3A5F"/>
        </w:rPr>
        <w:t xml:space="preserve">6.1 PO Mandatory Threshold    </w:t>
      </w:r>
    </w:p>
    <w:p>
      <w:r>
        <w:t>A formal Purchase Order (PO) must be raised in the procurement system for all purchases exceeding RM 2,000. Verbal or informal orders above this threshold are not permitted and will not be honoured for payment.</w:t>
      </w:r>
    </w:p>
    <w:p>
      <w:r>
        <w:rPr>
          <w:b/>
          <w:color w:val="1E3A5F"/>
        </w:rPr>
        <w:t xml:space="preserve">6.2 Approved Vendor List    </w:t>
      </w:r>
    </w:p>
    <w:p>
      <w:r>
        <w:t>Procurement shall maintain an Approved Vendor List (AVL) updated annually. All purchases above RM 5,000 must be made from AVL-registered vendors unless an exception is approved by the Head of Procurement. New vendor registration requires submission of SSM registration, bank account details, and a completed vendor declaration form.</w:t>
      </w:r>
    </w:p>
    <w:p>
      <w:r>
        <w:rPr>
          <w:b/>
          <w:color w:val="1E3A5F"/>
        </w:rPr>
        <w:t xml:space="preserve">6.3 Split Purchase Prohibition    </w:t>
      </w:r>
    </w:p>
    <w:p>
      <w:r>
        <w:t>The splitting of a single purchase requirement into multiple smaller purchase orders or requisitions with the deliberate intent of avoiding procurement thresholds or approval requirements is strictly prohibited. This practice constitutes a breach of procurement policy and is classified as a disciplinary offence under the Company's Code of Conduct. Disciplinary action may include formal warning, salary deduction, or termination of employment depending on severity and intent. Any suspected split purchases identified by Finance or Internal Audit will be referred to HR for investigation.</w:t>
      </w:r>
    </w:p>
    <w:p/>
    <w:p>
      <w:pPr>
        <w:pStyle w:val="Heading2"/>
      </w:pPr>
      <w:r>
        <w:rPr>
          <w:color w:val="0284C7"/>
        </w:rPr>
        <w:t>7. VENDOR EVALUATION AND ONBOARDING</w:t>
      </w:r>
    </w:p>
    <w:p>
      <w:r>
        <w:rPr>
          <w:b/>
          <w:color w:val="1E3A5F"/>
        </w:rPr>
        <w:t xml:space="preserve">7.1 Vendor Registration    </w:t>
      </w:r>
    </w:p>
    <w:p>
      <w:r>
        <w:t>All new vendors must complete the Vendor Registration Form and submit supporting documents including: SSM business registration certificate, bank account confirmation letter, audited financial statements (latest year), and declaration of conflict of interest. Registration is approved by the Head of Procurement and takes effect within 10 business days of complete submission.</w:t>
      </w:r>
    </w:p>
    <w:p>
      <w:r>
        <w:rPr>
          <w:b/>
          <w:color w:val="1E3A5F"/>
        </w:rPr>
        <w:t xml:space="preserve">7.2 Evaluation Criteria    </w:t>
      </w:r>
    </w:p>
    <w:p>
      <w:r>
        <w:t>Vendor evaluation for tender awards shall be conducted using a weighted scoring matrix with the following standard criteria: Price/Total Cost of Ownership (35%), Technical Compliance (25%), Delivery Lead Time (20%), Warranty and After-Sales Support (15%), Local Presence and Track Record (5%). Criteria weights may be adjusted with Procurement Committee approval for specialised acquisitions.</w:t>
      </w:r>
    </w:p>
    <w:p>
      <w:r>
        <w:rPr>
          <w:b/>
          <w:color w:val="1E3A5F"/>
        </w:rPr>
        <w:t xml:space="preserve">7.3 Annual Vendor Review    </w:t>
      </w:r>
    </w:p>
    <w:p>
      <w:r>
        <w:t>All Tier 1 vendors (annual spend &gt; RM 200,000) shall be subject to an annual performance review conducted by Procurement in November. Performance metrics reviewed include: on-time delivery rate, quality rejection rate, responsiveness, and pricing competitiveness. Vendors with sustained poor performance ratings may be suspended from the AVL.</w:t>
      </w:r>
    </w:p>
    <w:p/>
    <w:p>
      <w:pPr>
        <w:pStyle w:val="Heading2"/>
      </w:pPr>
      <w:r>
        <w:rPr>
          <w:color w:val="0284C7"/>
        </w:rPr>
        <w:t>8. CONTRACT MANAGEMENT POLICY</w:t>
      </w:r>
    </w:p>
    <w:p>
      <w:r>
        <w:rPr>
          <w:b/>
          <w:color w:val="1E3A5F"/>
        </w:rPr>
        <w:t xml:space="preserve">8.1 Contract Requirement    </w:t>
      </w:r>
    </w:p>
    <w:p>
      <w:r>
        <w:t>A formal written contract is mandatory for all vendor engagements with a total value exceeding RM 50,000, or for any recurring service engagement regardless of value. Contracts must be reviewed by the Head of Procurement and approved by the CFO before execution.</w:t>
      </w:r>
    </w:p>
    <w:p>
      <w:r>
        <w:rPr>
          <w:b/>
          <w:color w:val="1E3A5F"/>
        </w:rPr>
        <w:t xml:space="preserve">8.2 Standard Contract Terms    </w:t>
      </w:r>
    </w:p>
    <w:p>
      <w:r>
        <w:t>All vendor contracts shall incorporate CMC's standard terms and conditions including: Net-30 payment terms, liability cap of minimum six months' fees, symmetric termination rights (equal notice periods for both parties), annual price escalation capped at 5% or CPI (whichever is lower), and SLA penalty clauses for material service level breaches.</w:t>
      </w:r>
    </w:p>
    <w:p>
      <w:r>
        <w:rPr>
          <w:b/>
          <w:color w:val="1E3A5F"/>
        </w:rPr>
        <w:t xml:space="preserve">8.3 Contract Renewal    </w:t>
      </w:r>
    </w:p>
    <w:p>
      <w:r>
        <w:t>Departments are responsible for notifying Procurement at least three (3) months before any contract expiry. Procurement will initiate renewal or re-tender as appropriate. Contracts that expire without renewal will result in service disruption responsibility falling to the requesting HOD.</w:t>
      </w:r>
    </w:p>
    <w:p>
      <w:r>
        <w:rPr>
          <w:b/>
          <w:color w:val="1E3A5F"/>
        </w:rPr>
        <w:t xml:space="preserve">8.4 Variation Orders    </w:t>
      </w:r>
    </w:p>
    <w:p>
      <w:r>
        <w:t>Any changes to the scope, price, or duration of an existing contract must be formalised through a Variation Order (VO) approved by the original contract approving authority. Verbal agreements to vary contract terms are not binding.</w:t>
      </w:r>
    </w:p>
    <w:p/>
    <w:p>
      <w:pPr>
        <w:pStyle w:val="Heading2"/>
      </w:pPr>
      <w:r>
        <w:rPr>
          <w:color w:val="0284C7"/>
        </w:rPr>
        <w:t>9. ETHICAL PROCUREMENT POLICY</w:t>
      </w:r>
    </w:p>
    <w:p>
      <w:r>
        <w:rPr>
          <w:b/>
          <w:color w:val="1E3A5F"/>
        </w:rPr>
        <w:t xml:space="preserve">9.1 Conflict of Interest    </w:t>
      </w:r>
    </w:p>
    <w:p>
      <w:r>
        <w:t>All procurement staff and members of the Procurement Committee must declare any personal, financial, or business relationship with a vendor participating in any tender or quotation process. A conflict of interest declaration form must be submitted before any evaluation commences. Failure to declare is a disciplinary offence.</w:t>
      </w:r>
    </w:p>
    <w:p>
      <w:r>
        <w:rPr>
          <w:b/>
          <w:color w:val="1E3A5F"/>
        </w:rPr>
        <w:t xml:space="preserve">9.2 Gifts and Entertainment    </w:t>
      </w:r>
    </w:p>
    <w:p>
      <w:r>
        <w:t>Procurement staff and HODs involved in vendor decisions must not accept gifts, hospitality, or entertainment from any vendor or prospective vendor with a value exceeding RM 50. Gifts below RM 50 must be declared to the Head of Procurement. Corporate event invitations valued above RM 200 require CFO approval before acceptance.</w:t>
      </w:r>
    </w:p>
    <w:p>
      <w:r>
        <w:rPr>
          <w:b/>
          <w:color w:val="1E3A5F"/>
        </w:rPr>
        <w:t xml:space="preserve">9.3 Anti-Bribery Commitment    </w:t>
      </w:r>
    </w:p>
    <w:p>
      <w:r>
        <w:t>Contoso Medical Centre is committed to compliance with the Malaysian Anti-Corruption Commission Act 2009 and the corporate liability provisions under Section 17A. Any procurement staff member who solicits, accepts, or offers a bribe shall be subject to immediate termination and referral to the MACC.</w:t>
      </w:r>
    </w:p>
    <w:p/>
    <w:p>
      <w:r>
        <w:rPr>
          <w:b/>
          <w:i w:val="0"/>
          <w:sz w:val="22"/>
        </w:rPr>
        <w:t>Document Control</w:t>
      </w:r>
    </w:p>
    <w:p>
      <w:r>
        <w:rPr>
          <w:b w:val="0"/>
          <w:i w:val="0"/>
          <w:sz w:val="22"/>
        </w:rPr>
        <w:t>This policy supersedes all previous versions of the Finance and Procurement Policy Manual. Queries should be directed to the Finance Manager or Head of Procurement. The next scheduled review of this manual is January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