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Close-review context and daily briefing</w:t>
      </w:r>
    </w:p>
    <w:p>
      <w:r>
        <w:t>CTX-0909 • Compiled 9 September 2026, 08:00 local time • DRAFT SIMULATION</w:t>
      </w:r>
    </w:p>
    <w:p>
      <w:r>
        <w:t>All transcript and email/Teams excerpts below are ORIGINAL SYNTHETIC CONTENT, not exported or quoted from Microsoft 365. No mailbox, calendar or chat was accessed to produce them. They model a missed meeting, evolving evidence and a director briefing. All people and organisations are fictional.</w:t>
      </w:r>
    </w:p>
    <w:p>
      <w:pPr>
        <w:pStyle w:val="Heading2"/>
      </w:pPr>
      <w:r>
        <w:t>Participants and meeting record</w:t>
      </w:r>
    </w:p>
    <w:p>
      <w:r>
        <w:t>MTG-0902: August close working review, 2 September 2026, 09:00–09:40 local site time. Maya Hartono chaired; Dimas Wicaksono and Nadia Kusuma attended. CFO Arman Pradipta missed the meeting because of a conflicting director call. Maya agreed to circulate a summary for his review; no CFO approval was inferred from his absence.</w:t>
      </w:r>
    </w:p>
    <w:p>
      <w:pPr>
        <w:pStyle w:val="Heading2"/>
      </w:pPr>
      <w:r>
        <w:t>Daily briefing agenda | 9 September, 08:30–08:50</w:t>
      </w:r>
    </w:p>
    <w:p>
      <w:r>
        <w:t>08:30–08:34 — Maya: row conservation, unresolved mapping/FX and controller bridge; separate prepared work from approved close status.</w:t>
      </w:r>
    </w:p>
    <w:p>
      <w:r>
        <w:t>08:34–08:39 — Nadia: same-currency bank reconciliation, 1 September timing evidence, unbooked fees, unidentified receipts and supplier credits.</w:t>
      </w:r>
    </w:p>
    <w:p>
      <w:r>
        <w:t>08:39–08:44 — Dimas: bearing alarms DT-004/DT-005, production decomposition, and S03 progress-certificate dependency.</w:t>
      </w:r>
    </w:p>
    <w:p>
      <w:r>
        <w:t>08:44–08:50 — Arman: decide the next review gate, owners and dates; request a bounded board recommendation, not automatic journal or funding approval.</w:t>
      </w:r>
    </w:p>
    <w:p>
      <w:r>
        <w:t>Briefing output requested: a factual missed-meeting summary, a weekly director summary covering 1–9 September and a board recommendation with alternatives and dependencies. The latest source status is CTX-E06 below. No follow-up message is to be sent by the demonstration.</w:t>
      </w:r>
    </w:p>
    <w:p>
      <w:r>
        <w:br w:type="page"/>
      </w:r>
    </w:p>
    <w:p>
      <w:pPr>
        <w:pStyle w:val="Heading1"/>
      </w:pPr>
      <w:r>
        <w:t>Transcript | source and reconciliation review</w:t>
      </w:r>
    </w:p>
    <w:p>
      <w:pPr>
        <w:pStyle w:val="Heading2"/>
      </w:pPr>
      <w:r>
        <w:t>MTG-0902-T01 | 09:00 | Maya Hartono</w:t>
      </w:r>
    </w:p>
    <w:p>
      <w:r>
        <w:t>Arman cannot attend. I am recording a working review, not an approval meeting. The extracts contain 3012 imported occurrences. Twelve have repeated native keys and identical business fields. We must retain all source rows and show a reviewer-visible repeat flag before deriving a unique-transaction view.</w:t>
      </w:r>
    </w:p>
    <w:p>
      <w:pPr>
        <w:pStyle w:val="Heading2"/>
      </w:pPr>
      <w:r>
        <w:t>MTG-0902-T02 | 09:04 | Nadia Kusuma</w:t>
      </w:r>
    </w:p>
    <w:p>
      <w:r>
        <w:t>I have three FX gaps: SRC-S01-0025, SRC-S02-0355 and SRC-S03-0800. The controller certificate used separate treasury reference values, but those rates have not been released into the source FX table. Leave the translated values unresolved; I will obtain a rate memo rather than copy a nearby month's rate.</w:t>
      </w:r>
    </w:p>
    <w:p>
      <w:pPr>
        <w:pStyle w:val="Heading2"/>
      </w:pPr>
      <w:r>
        <w:t>MTG-0902-T03 | 09:08 | Maya Hartono</w:t>
      </w:r>
    </w:p>
    <w:p>
      <w:r>
        <w:t>Five account codes need a mapping decision. Pacific Supply is also ambiguous between V047 and V048. Similar names are not enough. The +12,500, −3,400 and +8,250 USD controller adjustments need a documented bridge; they are not permission to plug the source totals.</w:t>
      </w:r>
    </w:p>
    <w:p>
      <w:pPr>
        <w:pStyle w:val="Heading2"/>
      </w:pPr>
      <w:r>
        <w:t>MTG-0902-T04 | 09:12 | Dimas Wicaksono</w:t>
      </w:r>
    </w:p>
    <w:p>
      <w:r>
        <w:t>I will chase receiving evidence for AP-0061 through AP-0070. Do not label those invoices fictitious. PO-0081 has split deliveries, not duplicate receipts: GRN-0081-A and GRN-0081-B should first be combined at PO and currency. I will confirm the receiving log before proposing an accrual correction.</w:t>
      </w:r>
    </w:p>
    <w:p>
      <w:pPr>
        <w:pStyle w:val="Heading2"/>
      </w:pPr>
      <w:r>
        <w:t>MTG-0902-T05 | 09:16 | Nadia Kusuma</w:t>
      </w:r>
    </w:p>
    <w:p>
      <w:r>
        <w:t>There are four consolidated bank payments with explicit cash-line allocations. Twelve cash rows roll into those four bank lines. Reconcile each batch once; the fourth is a group treasury payment spanning sites. Bank entries BK-0533 to BK-0536 settle on 1 September, which is evidence of timing, not an August cash-book error by itself.</w:t>
      </w:r>
    </w:p>
    <w:p>
      <w:pPr>
        <w:pStyle w:val="Heading2"/>
      </w:pPr>
      <w:r>
        <w:t>MTG-0902-T06 | 09:19 | Maya Hartono</w:t>
      </w:r>
    </w:p>
    <w:p>
      <w:r>
        <w:t>The duplicate invoice candidates are AP-D001 through AP-D012 against their original invoice IDs. Their incremental open face value is USD 23,849.46. That is a review exposure, not cash saved or a fraud finding. Keep the supplier confirmation request separate from any recommendation to hold a second payment.</w:t>
      </w:r>
    </w:p>
    <w:p>
      <w:r>
        <w:br w:type="page"/>
      </w:r>
    </w:p>
    <w:p>
      <w:pPr>
        <w:pStyle w:val="Heading1"/>
      </w:pPr>
      <w:r>
        <w:t>Transcript | operations and decisions</w:t>
      </w:r>
    </w:p>
    <w:p>
      <w:pPr>
        <w:pStyle w:val="Heading2"/>
      </w:pPr>
      <w:r>
        <w:t>MTG-0902-T07 | 09:22 | Dimas Wicaksono</w:t>
      </w:r>
    </w:p>
    <w:p>
      <w:r>
        <w:t>North Valley had two August bearing temperature alarms, DT-004 and DT-005, totalling 12.5 hours. The daily data also show differences in tonnes and recovery, and the weekly notes mention ore blend. I can recommend a reliability review, but I cannot attribute all of the production variance to that bearing from these records alone.</w:t>
      </w:r>
    </w:p>
    <w:p>
      <w:pPr>
        <w:pStyle w:val="Heading2"/>
      </w:pPr>
      <w:r>
        <w:t>MTG-0902-T08 | 09:26 | Nadia Kusuma</w:t>
      </w:r>
    </w:p>
    <w:p>
      <w:r>
        <w:t>Please do not use recovered ounces as sales or receipts. The scenario price is a demonstration input, not a realized-price file. We still need the dispatch-to-settlement bridge and a complete cash forecast before discussing runway or funding capacity.</w:t>
      </w:r>
    </w:p>
    <w:p>
      <w:pPr>
        <w:pStyle w:val="Heading2"/>
      </w:pPr>
      <w:r>
        <w:t>MTG-0902-T09 | 09:29 | Dimas Wicaksono</w:t>
      </w:r>
    </w:p>
    <w:p>
      <w:r>
        <w:t>S03 is development only. The engineering package is awaiting a progress certificate and remaining commitment register. A favorable capex variance could mean the work slipped. My recommendation is to keep the next-stage release conditional until those documents and procurement timing are reviewed.</w:t>
      </w:r>
    </w:p>
    <w:p>
      <w:pPr>
        <w:pStyle w:val="Heading2"/>
      </w:pPr>
      <w:r>
        <w:t>MTG-0902-T10 | 09:32 | Maya Hartono</w:t>
      </w:r>
    </w:p>
    <w:p>
      <w:r>
        <w:t>Agreed on the process, not on an investment amount. Nadia owns the rate and bank evidence; Dimas owns receipt and operational evidence; I own mapping and the controller bridge. We will prepare proposed journals only. Arman will receive open items, owners, dates and the decision actually requested.</w:t>
      </w:r>
    </w:p>
    <w:p>
      <w:pPr>
        <w:pStyle w:val="Heading2"/>
      </w:pPr>
      <w:r>
        <w:t>MTG-0902-T11 | 09:36 | Nadia Kusuma</w:t>
      </w:r>
    </w:p>
    <w:p>
      <w:r>
        <w:t>Five bank fee notices total USD 275 and two receipts total USD 4,000 without an identified origin. Supplier credit entries CN-0901 through CN-0908 total USD 960, but their basis must be checked before coding. None of those items should be added to the duplicate candidate exposure as one savings figure.</w:t>
      </w:r>
    </w:p>
    <w:p>
      <w:pPr>
        <w:pStyle w:val="Heading2"/>
      </w:pPr>
      <w:r>
        <w:t>MTG-0902-T12 | 09:40 | Maya Hartono</w:t>
      </w:r>
    </w:p>
    <w:p>
      <w:r>
        <w:t>I will ask for evidence updates by 8 September and brief Arman on 9 September. Today's decisions are to retain raw data, use the stated matching grain and escalate unresolved evidence. There is no approved journal, supplier recovery, funding release or final close sign-off from this meeting.</w:t>
      </w:r>
    </w:p>
    <w:p>
      <w:r>
        <w:br w:type="page"/>
      </w:r>
    </w:p>
    <w:p>
      <w:pPr>
        <w:pStyle w:val="Heading1"/>
      </w:pPr>
      <w:r>
        <w:t>Simulated correspondence | 1–4 September</w:t>
      </w:r>
    </w:p>
    <w:p>
      <w:pPr>
        <w:pStyle w:val="Heading2"/>
      </w:pPr>
      <w:r>
        <w:t>CTX-E01 | Email | 1 September 2026, 16:20 | Maya → Nadia, Dimas</w:t>
      </w:r>
    </w:p>
    <w:p>
      <w:r>
        <w:t>Subject: August evidence cut-off and tomorrow's review. Please use the supplied source IDs rather than pasted screenshots without row references. I have frozen the ledger import for comparison, not signed off the close. The account map omits five codes and the vendor alias Pacific Supply has two candidate masters. Nadia, please confirm period-specific rates and bank settlement dates. Dimas, please locate the ten missing receiving records and separate split deliveries from missing deliveries. If evidence arrives after 31 August, record both its document date and when we received it. I will retain a versioned exception list for Arman's review.</w:t>
      </w:r>
    </w:p>
    <w:p>
      <w:pPr>
        <w:pStyle w:val="Heading2"/>
      </w:pPr>
      <w:r>
        <w:t>CTX-E02 | Teams | 2 September 2026, 08:52 | Arman → Close review group</w:t>
      </w:r>
    </w:p>
    <w:p>
      <w:r>
        <w:t>I am on a director call and will miss the 09:00 working review. Maya, please chair and send me a factual readout, including points that remain unresolved. Please do not mark the close approved because I am absent. I especially need to know whether any claimed benefit is cash already received, an avoided future payment or simply an exception candidate. For S03, distinguish progress evidence from budget underspend. Bring a decision request with options and dependencies to the 9 September briefing; do not make an investment commitment on my behalf.</w:t>
      </w:r>
    </w:p>
    <w:p>
      <w:pPr>
        <w:pStyle w:val="Heading2"/>
      </w:pPr>
      <w:r>
        <w:t>CTX-E03 | Email | 4 September 2026, 11:10 | Nadia → Maya</w:t>
      </w:r>
    </w:p>
    <w:p>
      <w:r>
        <w:t>Subject: Bank evidence received; journal status unchanged. I have located the settlement advice for BK-0533–BK-0536 dated 1 September. This narrows those four items to a timing explanation at the August cut-off; it does not change the bank posting dates. BK-FEE-01–05 still need the controller's coding and proposed-journal review. CB-0537–CB-0544 still have no corresponding bank line in the supplied extract. The two unallocated receipts remain unidentified. The three FX gaps are escalated for a rate memo, not approved for a zero or prior-month substitution. No entry has been posted as a result of this message.</w:t>
      </w:r>
    </w:p>
    <w:p>
      <w:r>
        <w:br w:type="page"/>
      </w:r>
    </w:p>
    <w:p>
      <w:pPr>
        <w:pStyle w:val="Heading1"/>
      </w:pPr>
      <w:r>
        <w:t>Simulated correspondence | 7–9 September</w:t>
      </w:r>
    </w:p>
    <w:p>
      <w:pPr>
        <w:pStyle w:val="Heading2"/>
      </w:pPr>
      <w:r>
        <w:t>CTX-E04 | Teams | 7 September 2026, 14:35 | Dimas → Maya, Nadia</w:t>
      </w:r>
    </w:p>
    <w:p>
      <w:r>
        <w:t>The site supervisor confirmed that DT-004 and DT-005 refer to the same mill, but engineering has not approved a replacement scope or a sole root cause. Vibration review and assay checks remain open. Please retain tonnes, grade and recovery as separate contributors in the director summary. For PO-0081 the two GRN references are valid split deliveries. The ten missing-receipt invoice IDs still need signed receiving evidence. S03's contractor has promised a progress certificate, but it has not arrived. I recommend a conditional next-stage decision, not a statement that capex underspend proves accelerated delivery.</w:t>
      </w:r>
    </w:p>
    <w:p>
      <w:pPr>
        <w:pStyle w:val="Heading2"/>
      </w:pPr>
      <w:r>
        <w:t>CTX-E05 | Email | 8 September 2026, 17:05 | Maya → Arman</w:t>
      </w:r>
    </w:p>
    <w:p>
      <w:r>
        <w:t>Subject: Weekly director summary inputs — review exposure, not savings. The duplicate screen identifies twelve candidate pairs with USD 23,849.46 of additional open face value. Original invoice rows are marked paid; open copies are not proof of a second payment. Supplier confirmation and any correction remain outstanding. The management draft MGT-0831-D1 still contains five assertions requiring critique. I propose an amber evidence status: bank timing evidence improved on 4 September, but account mapping, FX, supplier identity and selected operational documents remain unresolved. The attached-source budget actuals use the controller certificate; no final import-to-control clearance is claimed.</w:t>
      </w:r>
    </w:p>
    <w:p>
      <w:pPr>
        <w:pStyle w:val="Heading2"/>
      </w:pPr>
      <w:r>
        <w:t>CTX-E06 | Teams | 9 September 2026, 07:45 | Arman → Maya, Dimas, Nadia</w:t>
      </w:r>
    </w:p>
    <w:p>
      <w:r>
        <w:t>For today's briefing, keep the improved bank evidence separate from the items still open. My requested board recommendation is a gated reliability review for S01 and a conditional S03 stage release, with alternatives, evidence dependencies and accountable owners. Bring a priced scope and a complete cash/commitment assessment before asking for funding authority. I have not approved a journal, supplier recovery, investment amount or final close status. Please show which facts changed after the missed meeting and which are only proposals. Do not describe scenario gold value as revenue or favorable budget variance as available cash.</w:t>
      </w:r>
    </w:p>
    <w:p>
      <w:r>
        <w:t>Source boundary: CTX-E01–E06 and MTG-0902-T01–T12 are simulated communications, not accounting entries or actual M365 evidence. A briefing may cite them as statements by fictional participants while retaining the underlying workbook IDs.</w:t>
      </w:r>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FICTIONAL • INTERNAL TRAINING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CONTOSO MINERALS GROUP  |  CTX-0909 | SIMULATED M365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E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3E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E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Original synthetic mining finance demonstration</dc:subject>
  <dc:creator>Contoso Minerals Group</dc:creator>
  <cp:keywords>fictional, synthetic, bilingual</cp:keywords>
  <dc:description>generated by python-docx</dc:description>
  <cp:lastModifiedBy/>
  <cp:revision>1</cp:revision>
  <dcterms:created xsi:type="dcterms:W3CDTF">2013-12-23T23:15:00Z</dcterms:created>
  <dcterms:modified xsi:type="dcterms:W3CDTF">2013-12-23T23:15:00Z</dcterms:modified>
  <cp:category/>
</cp:coreProperties>
</file>