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before="0"/>
        <w:rPr>
          <w:b/>
          <w:bCs/>
          <w:color w:val="143C53"/>
          <w:sz w:val="34"/>
          <w:szCs w:val="34"/>
        </w:rPr>
      </w:pPr>
      <w:r>
        <w:rPr>
          <w:rFonts w:ascii="Arial" w:cs="Arial" w:eastAsia="Arial" w:hAnsi="Arial"/>
          <w:b/>
          <w:bCs/>
          <w:color w:val="143C53"/>
          <w:sz w:val="34"/>
          <w:szCs w:val="34"/>
        </w:rPr>
        <w:t xml:space="preserve">01  Management evidence pack</w:t>
      </w:r>
    </w:p>
    <w:p>
      <w:pPr>
        <w:spacing w:after="100"/>
        <w:rPr>
          <w:b/>
          <w:bCs/>
          <w:color w:val="007E87"/>
          <w:sz w:val="23"/>
          <w:szCs w:val="23"/>
        </w:rPr>
      </w:pPr>
      <w:r>
        <w:rPr>
          <w:rFonts w:ascii="Arial" w:cs="Arial" w:eastAsia="Arial" w:hAnsi="Arial"/>
          <w:b/>
          <w:bCs/>
          <w:color w:val="007E87"/>
          <w:sz w:val="23"/>
          <w:szCs w:val="23"/>
        </w:rPr>
        <w:t xml:space="preserve">CONTOSO MINERALS GROUP</w:t>
      </w:r>
    </w:p>
    <w:p>
      <w:pPr>
        <w:spacing w:after="95" w:line="250"/>
        <w:rPr>
          <w:color w:val="143C53"/>
          <w:sz w:val="25"/>
          <w:szCs w:val="25"/>
        </w:rPr>
      </w:pPr>
      <w:r>
        <w:rPr>
          <w:rFonts w:ascii="Arial" w:cs="Arial" w:eastAsia="Arial" w:hAnsi="Arial"/>
          <w:color w:val="143C53"/>
          <w:sz w:val="25"/>
          <w:szCs w:val="25"/>
        </w:rPr>
        <w:t xml:space="preserve">August close • liquidity • project gate</w:t>
      </w:r>
    </w:p>
    <w:p>
      <w:pPr>
        <w:spacing w:after="95" w:line="250"/>
        <w:rPr>
          <w:b/>
          <w:bCs/>
          <w:sz w:val="21"/>
          <w:szCs w:val="21"/>
        </w:rPr>
      </w:pPr>
      <w:r>
        <w:rPr>
          <w:rFonts w:ascii="Arial" w:cs="Arial" w:eastAsia="Arial" w:hAnsi="Arial"/>
          <w:b/>
          <w:bCs/>
          <w:sz w:val="21"/>
          <w:szCs w:val="21"/>
        </w:rPr>
        <w:t xml:space="preserve">Frozen evidence snapshot: 9 September 2026, 08:00 LOCAL — Singapore, UTC+08:00. Financial cut-off: 31 August 2026, 23:59:59 LOCAL (UTC+08:00). All times in this pack use that time zone. This is a simulated date, not the real current date.</w:t>
      </w:r>
    </w:p>
    <w:p>
      <w:pPr>
        <w:spacing w:after="85" w:line="210"/>
        <w:rPr>
          <w:color w:val="566775"/>
          <w:sz w:val="17"/>
          <w:szCs w:val="17"/>
        </w:rPr>
      </w:pPr>
      <w:r>
        <w:rPr>
          <w:rFonts w:ascii="Arial" w:cs="Arial" w:eastAsia="Arial" w:hAnsi="Arial"/>
          <w:color w:val="566775"/>
          <w:sz w:val="17"/>
          <w:szCs w:val="17"/>
        </w:rPr>
        <w:t xml:space="preserve">ORIGINAL SYNTHETIC TRAINING CASE. All figures, people, communications and approvals are fictional. Not audited, not investment advice, and not company operating records. Source approval is simulated controller approval, not an external audit.</w:t>
      </w:r>
    </w:p>
    <w:p>
      <w:pPr>
        <w:keepNext/>
        <w:spacing w:after="70" w:before="120"/>
        <w:rPr>
          <w:b/>
          <w:bCs/>
          <w:color w:val="007E87"/>
          <w:sz w:val="23"/>
          <w:szCs w:val="23"/>
        </w:rPr>
      </w:pPr>
      <w:r>
        <w:rPr>
          <w:rFonts w:ascii="Arial" w:cs="Arial" w:eastAsia="Arial" w:hAnsi="Arial"/>
          <w:b/>
          <w:bCs/>
          <w:color w:val="007E87"/>
          <w:sz w:val="23"/>
          <w:szCs w:val="23"/>
        </w:rPr>
        <w:t xml:space="preserve">Scope and source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7"/>
        <w:gridCol w:w="6633"/>
      </w:tblGrid>
      <w:tr>
        <w:trPr>
          <w:cantSplit/>
          <w:tblHeader/>
        </w:trPr>
        <w:tc>
          <w:tcPr>
            <w:tcW w:type="pct" w:w="3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Source</w:t>
            </w:r>
          </w:p>
        </w:tc>
        <w:tc>
          <w:tcPr>
            <w:tcW w:type="pct" w:w="67%"/>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Authority and permitted use</w:t>
            </w:r>
          </w:p>
        </w:tc>
      </w:tr>
      <w:tr>
        <w:trPr>
          <w:cantSplit/>
          <w:tblHeader w:val="false"/>
        </w:trPr>
        <w:tc>
          <w:tcPr>
            <w:tcW w:type="pct" w:w="3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10_Finance_Model_EN.xlsx</w:t>
            </w:r>
          </w:p>
        </w:tc>
        <w:tc>
          <w:tcPr>
            <w:tcW w:type="pct" w:w="67%"/>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Before-update model; intentionally review-required. June–July closed; August–December forecast. Rules, assumptions and budget guide the review; outputs are not certified truth.</w:t>
            </w:r>
          </w:p>
        </w:tc>
      </w:tr>
      <w:tr>
        <w:trPr>
          <w:cantSplit/>
          <w:tblHeader w:val="false"/>
        </w:trPr>
        <w:tc>
          <w:tcPr>
            <w:tcW w:type="pct" w:w="3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11_August_Update_EN.xlsx</w:t>
            </w:r>
          </w:p>
        </w:tc>
        <w:tc>
          <w:tcPr>
            <w:tcW w:type="pct" w:w="67%"/>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Primary financial evidence: approved release FIN-REL-2026-08-v1, dated 3 September. Use certified ledger totals, sales, bullion and dated cash applications with release filters.</w:t>
            </w:r>
          </w:p>
        </w:tc>
      </w:tr>
      <w:tr>
        <w:trPr>
          <w:cantSplit/>
          <w:tblHeader w:val="false"/>
        </w:trPr>
        <w:tc>
          <w:tcPr>
            <w:tcW w:type="pct" w:w="3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12_Operations_Detail_EN.xlsx</w:t>
            </w:r>
          </w:p>
        </w:tc>
        <w:tc>
          <w:tcPr>
            <w:tcW w:type="pct" w:w="67%"/>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Detailed operational evidence through the frozen snapshot. Separate current events, revision history, plant impacts and S03 stage-gate evidence.</w:t>
            </w:r>
          </w:p>
        </w:tc>
      </w:tr>
      <w:tr>
        <w:trPr>
          <w:cantSplit/>
          <w:tblHeader w:val="false"/>
        </w:trPr>
        <w:tc>
          <w:tcPr>
            <w:tcW w:type="pct" w:w="3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13_Management_Evidence_EN.docx</w:t>
            </w:r>
          </w:p>
        </w:tc>
        <w:tc>
          <w:tcPr>
            <w:tcW w:type="pct" w:w="67%"/>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Context, proposals and unresolved decisions. Financial claims below are explicitly distinguished from approved sources; no new accounting authority.</w:t>
            </w:r>
          </w:p>
        </w:tc>
      </w:tr>
      <w:tr>
        <w:trPr>
          <w:cantSplit/>
          <w:tblHeader w:val="false"/>
        </w:trPr>
        <w:tc>
          <w:tcPr>
            <w:tcW w:type="pct" w:w="3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15_Finance_Reference_EN.xlsx</w:t>
            </w:r>
          </w:p>
        </w:tc>
        <w:tc>
          <w:tcPr>
            <w:tcW w:type="pct" w:w="67%"/>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SEPARATE PREBUILT AFTER-CORRECTION/UPDATE OUTPUT. Not primary evidence; not proof that management had already reviewed or approved results. Exclude from the initial Researcher comparison.</w:t>
            </w:r>
          </w:p>
        </w:tc>
      </w:tr>
    </w:tbl>
    <w:p>
      <w:pPr>
        <w:keepNext/>
        <w:spacing w:after="70" w:before="120"/>
        <w:rPr>
          <w:b/>
          <w:bCs/>
          <w:color w:val="007E87"/>
          <w:sz w:val="23"/>
          <w:szCs w:val="23"/>
        </w:rPr>
      </w:pPr>
      <w:r>
        <w:rPr>
          <w:rFonts w:ascii="Arial" w:cs="Arial" w:eastAsia="Arial" w:hAnsi="Arial"/>
          <w:b/>
          <w:bCs/>
          <w:color w:val="007E87"/>
          <w:sz w:val="23"/>
          <w:szCs w:val="23"/>
        </w:rPr>
        <w:t xml:space="preserve">Business boundary</w:t>
      </w:r>
    </w:p>
    <w:p>
      <w:pPr>
        <w:spacing w:after="95" w:line="250"/>
      </w:pPr>
      <w:r>
        <w:rPr>
          <w:rFonts w:ascii="Arial" w:cs="Arial" w:eastAsia="Arial" w:hAnsi="Arial"/>
        </w:rPr>
        <w:t xml:space="preserve">S01 North Valley and S02 East Ridge operate gold mines. S03 Central Project is copper-gold development with no production or gold sales. Arman Pradipta is CFO; Maya Hartono is controller; Dimas Wicaksono leads operations; Nadia Kusuma leads treasury. The management horizon is June–December; June–August is period-to-date, not full fiscal YTD.</w:t>
      </w:r>
    </w:p>
    <w:p>
      <w:pPr>
        <w:spacing w:after="85" w:line="210"/>
        <w:rPr>
          <w:color w:val="566775"/>
          <w:sz w:val="17"/>
          <w:szCs w:val="17"/>
        </w:rPr>
      </w:pPr>
      <w:r>
        <w:rPr>
          <w:rFonts w:ascii="Arial" w:cs="Arial" w:eastAsia="Arial" w:hAnsi="Arial"/>
          <w:color w:val="566775"/>
          <w:sz w:val="17"/>
          <w:szCs w:val="17"/>
        </w:rPr>
        <w:t xml:space="preserve">Files 01–09 and Fabric belong to a separate earlier exercise. Do not append their duplicate rows to 10/11/12. The detailed OPS26 extension maps legacy DT-001…DT-006; do not count the legacy summary again. Reuse exactly the same frozen 10/11/12/13 corpus and prompt in Researcher Auto/Critique and Model Council.</w:t>
      </w:r>
    </w:p>
    <w:p>
      <w:pPr>
        <w:keepNext/>
        <w:pageBreakBefore/>
        <w:spacing w:after="160" w:before="0"/>
        <w:rPr>
          <w:b/>
          <w:bCs/>
          <w:color w:val="143C53"/>
          <w:sz w:val="34"/>
          <w:szCs w:val="34"/>
        </w:rPr>
      </w:pPr>
      <w:r>
        <w:rPr>
          <w:rFonts w:ascii="Arial" w:cs="Arial" w:eastAsia="Arial" w:hAnsi="Arial"/>
          <w:b/>
          <w:bCs/>
          <w:color w:val="143C53"/>
          <w:sz w:val="34"/>
          <w:szCs w:val="34"/>
        </w:rPr>
        <w:t xml:space="preserve">02  Morning decision agenda</w:t>
      </w:r>
    </w:p>
    <w:p>
      <w:pPr>
        <w:spacing w:after="95" w:line="250"/>
        <w:rPr>
          <w:b/>
          <w:bCs/>
        </w:rPr>
      </w:pPr>
      <w:r>
        <w:rPr>
          <w:rFonts w:ascii="Arial" w:cs="Arial" w:eastAsia="Arial" w:hAnsi="Arial"/>
          <w:b/>
          <w:bCs/>
        </w:rPr>
        <w:t xml:space="preserve">9 September 2026 • 08:30–09:00 LOCAL • Chair: Arman Pradipta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0"/>
        <w:gridCol w:w="4059"/>
        <w:gridCol w:w="3861"/>
      </w:tblGrid>
      <w:tr>
        <w:trPr>
          <w:cantSplit/>
          <w:tblHeader/>
        </w:trPr>
        <w:tc>
          <w:tcPr>
            <w:tcW w:type="pct" w:w="20%"/>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Time / lead</w:t>
            </w:r>
          </w:p>
        </w:tc>
        <w:tc>
          <w:tcPr>
            <w:tcW w:type="pct" w:w="4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Priority and status at 08:00</w:t>
            </w:r>
          </w:p>
        </w:tc>
        <w:tc>
          <w:tcPr>
            <w:tcW w:type="pct" w:w="3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Required outcome</w:t>
            </w:r>
          </w:p>
        </w:tc>
      </w:tr>
      <w:tr>
        <w:trPr>
          <w:cantSplit/>
          <w:tblHeader w:val="false"/>
        </w:trPr>
        <w:tc>
          <w:tcPr>
            <w:tcW w:type="pct" w:w="2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08:30 · Maya</w:t>
            </w:r>
          </w:p>
        </w:tc>
        <w:tc>
          <w:tcPr>
            <w:tcW w:type="pct" w:w="4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Source release approved; update application and independent model review pending.</w:t>
            </w:r>
          </w:p>
        </w:tc>
        <w:tc>
          <w:tcPr>
            <w:tcW w:type="pct" w:w="3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Confirm approved/held counts, immutable July and budget, and event-key controls.</w:t>
            </w:r>
          </w:p>
        </w:tc>
      </w:tr>
      <w:tr>
        <w:trPr>
          <w:cantSplit/>
          <w:tblHeader w:val="false"/>
        </w:trPr>
        <w:tc>
          <w:tcPr>
            <w:tcW w:type="pct" w:w="2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08:38 · Maya / Dimas</w:t>
            </w:r>
          </w:p>
        </w:tc>
        <w:tc>
          <w:tcPr>
            <w:tcW w:type="pct" w:w="4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Revenue, stock and cost commentary needs reconciliation.</w:t>
            </w:r>
          </w:p>
        </w:tc>
        <w:tc>
          <w:tcPr>
            <w:tcW w:type="pct" w:w="3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Distinguish sold ounces, produced ounces, controller adjustments and operational hypotheses.</w:t>
            </w:r>
          </w:p>
        </w:tc>
      </w:tr>
      <w:tr>
        <w:trPr>
          <w:cantSplit/>
          <w:tblHeader w:val="false"/>
        </w:trPr>
        <w:tc>
          <w:tcPr>
            <w:tcW w:type="pct" w:w="2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08:46 · Nadia</w:t>
            </w:r>
          </w:p>
        </w:tc>
        <w:tc>
          <w:tcPr>
            <w:tcW w:type="pct" w:w="4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December liquidity forecast unapproved.</w:t>
            </w:r>
          </w:p>
        </w:tc>
        <w:tc>
          <w:tcPr>
            <w:tcW w:type="pct" w:w="3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Separate repair effect, August refresh and optional-payment cases.</w:t>
            </w:r>
          </w:p>
        </w:tc>
      </w:tr>
      <w:tr>
        <w:trPr>
          <w:cantSplit/>
          <w:tblHeader w:val="false"/>
        </w:trPr>
        <w:tc>
          <w:tcPr>
            <w:tcW w:type="pct" w:w="2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08:54 · Arman / Dimas</w:t>
            </w:r>
          </w:p>
        </w:tc>
        <w:tc>
          <w:tcPr>
            <w:tcW w:type="pct" w:w="4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S03 stage gate blocked; payment proposal pending.</w:t>
            </w:r>
          </w:p>
        </w:tc>
        <w:tc>
          <w:tcPr>
            <w:tcW w:type="pct" w:w="3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Agree evidence owners and next review; do not authorize payment.</w:t>
            </w:r>
          </w:p>
        </w:tc>
      </w:tr>
    </w:tbl>
    <w:p>
      <w:pPr>
        <w:keepNext/>
        <w:spacing w:after="70" w:before="120"/>
        <w:rPr>
          <w:b/>
          <w:bCs/>
          <w:color w:val="007E87"/>
          <w:sz w:val="23"/>
          <w:szCs w:val="23"/>
        </w:rPr>
      </w:pPr>
      <w:r>
        <w:rPr>
          <w:rFonts w:ascii="Arial" w:cs="Arial" w:eastAsia="Arial" w:hAnsi="Arial"/>
          <w:b/>
          <w:bCs/>
          <w:color w:val="007E87"/>
          <w:sz w:val="23"/>
          <w:szCs w:val="23"/>
        </w:rPr>
        <w:t xml:space="preserve">Approved August release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6"/>
        <w:gridCol w:w="1584"/>
        <w:gridCol w:w="4950"/>
      </w:tblGrid>
      <w:tr>
        <w:trPr>
          <w:cantSplit/>
          <w:tblHeader/>
        </w:trPr>
        <w:tc>
          <w:tcPr>
            <w:tcW w:type="pct" w:w="34%"/>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Event type</w:t>
            </w:r>
          </w:p>
        </w:tc>
        <w:tc>
          <w:tcPr>
            <w:tcW w:type="pct" w:w="16%"/>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Count</w:t>
            </w:r>
          </w:p>
        </w:tc>
        <w:tc>
          <w:tcPr>
            <w:tcW w:type="pct" w:w="50%"/>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Approved batch ID</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Ledger</w:t>
            </w:r>
          </w:p>
        </w:tc>
        <w:tc>
          <w:tcPr>
            <w:tcW w:type="pct" w:w="16%"/>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1,005</w:t>
            </w:r>
          </w:p>
        </w:tc>
        <w:tc>
          <w:tcPr>
            <w:tcW w:type="pct" w:w="5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APP-LED-2026-08</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GoldSale</w:t>
            </w:r>
          </w:p>
        </w:tc>
        <w:tc>
          <w:tcPr>
            <w:tcW w:type="pct" w:w="16%"/>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8</w:t>
            </w:r>
          </w:p>
        </w:tc>
        <w:tc>
          <w:tcPr>
            <w:tcW w:type="pct" w:w="5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APP-SALE-2026-08</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Collection</w:t>
            </w:r>
          </w:p>
        </w:tc>
        <w:tc>
          <w:tcPr>
            <w:tcW w:type="pct" w:w="16%"/>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16</w:t>
            </w:r>
          </w:p>
        </w:tc>
        <w:tc>
          <w:tcPr>
            <w:tcW w:type="pct" w:w="5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APP-COLL-2026-08</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VendorSettlement</w:t>
            </w:r>
          </w:p>
        </w:tc>
        <w:tc>
          <w:tcPr>
            <w:tcW w:type="pct" w:w="16%"/>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1,526</w:t>
            </w:r>
          </w:p>
        </w:tc>
        <w:tc>
          <w:tcPr>
            <w:tcW w:type="pct" w:w="5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APP-PAY-2026-08</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Production</w:t>
            </w:r>
          </w:p>
        </w:tc>
        <w:tc>
          <w:tcPr>
            <w:tcW w:type="pct" w:w="16%"/>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62</w:t>
            </w:r>
          </w:p>
        </w:tc>
        <w:tc>
          <w:tcPr>
            <w:tcW w:type="pct" w:w="5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APP-OPS-2026-08</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Commitment</w:t>
            </w:r>
          </w:p>
        </w:tc>
        <w:tc>
          <w:tcPr>
            <w:tcW w:type="pct" w:w="16%"/>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335</w:t>
            </w:r>
          </w:p>
        </w:tc>
        <w:tc>
          <w:tcPr>
            <w:tcW w:type="pct" w:w="5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APP-CAP-2026-08</w:t>
            </w:r>
          </w:p>
        </w:tc>
      </w:tr>
    </w:tbl>
    <w:p>
      <w:pPr>
        <w:spacing w:after="95" w:line="250"/>
      </w:pPr>
      <w:r>
        <w:rPr>
          <w:rFonts w:ascii="Arial" w:cs="Arial" w:eastAsia="Arial" w:hAnsi="Arial"/>
        </w:rPr>
        <w:t xml:space="preserve">Total: 2,952 approved August events. The 19 held upload rows comprise 12 DUPLICATE_UPLOAD, 3 HELD_DRAFT, 3 EXCLUDED_CUTOFF and 1 HELD_UNMAPPED. Exclude scheduled treasury events from actuals. Update_Events is a common event projection, not an additional population to append to the component tabs.</w:t>
      </w:r>
    </w:p>
    <w:p>
      <w:pPr>
        <w:spacing w:after="85" w:line="210"/>
        <w:rPr>
          <w:color w:val="566775"/>
          <w:sz w:val="17"/>
          <w:szCs w:val="17"/>
        </w:rPr>
      </w:pPr>
      <w:r>
        <w:rPr>
          <w:rFonts w:ascii="Arial" w:cs="Arial" w:eastAsia="Arial" w:hAnsi="Arial"/>
          <w:color w:val="566775"/>
          <w:sz w:val="17"/>
          <w:szCs w:val="17"/>
        </w:rPr>
        <w:t xml:space="preserve">Source: 11, Approved_Batches!A2:J23; Data_Quality!A2:F20; Update_Events!A2:R8828. Overall synthetic population: 8,827 unique events, including 1,284 scheduled future treasury events; 7,543 approved actual events through August. Component projections repeat the same business events.</w:t>
      </w:r>
    </w:p>
    <w:p>
      <w:pPr>
        <w:keepNext/>
        <w:spacing w:after="70" w:before="120"/>
        <w:rPr>
          <w:b/>
          <w:bCs/>
          <w:color w:val="007E87"/>
          <w:sz w:val="23"/>
          <w:szCs w:val="23"/>
        </w:rPr>
      </w:pPr>
      <w:r>
        <w:rPr>
          <w:rFonts w:ascii="Arial" w:cs="Arial" w:eastAsia="Arial" w:hAnsi="Arial"/>
          <w:b/>
          <w:bCs/>
          <w:color w:val="007E87"/>
          <w:sz w:val="23"/>
          <w:szCs w:val="23"/>
        </w:rPr>
        <w:t xml:space="preserve">Release condition</w:t>
      </w:r>
    </w:p>
    <w:p>
      <w:pPr>
        <w:spacing w:after="95" w:line="250"/>
      </w:pPr>
      <w:r>
        <w:rPr>
          <w:rFonts w:ascii="Arial" w:cs="Arial" w:eastAsia="Arial" w:hAnsi="Arial"/>
        </w:rPr>
        <w:t xml:space="preserve">Maya owns reconciliation; Dimas owns operational evidence; Nadia owns cash timing and scenario integrity. Arman owns the decision, not the source calculation. A repeated update must replace or match on stable business keys rather than append again. The September discussion dates do not extend the August financial cut-off.</w:t>
      </w:r>
    </w:p>
    <w:p>
      <w:pPr>
        <w:keepNext/>
        <w:pageBreakBefore/>
        <w:spacing w:after="160" w:before="0"/>
        <w:rPr>
          <w:b/>
          <w:bCs/>
          <w:color w:val="143C53"/>
          <w:sz w:val="34"/>
          <w:szCs w:val="34"/>
        </w:rPr>
      </w:pPr>
      <w:r>
        <w:rPr>
          <w:rFonts w:ascii="Arial" w:cs="Arial" w:eastAsia="Arial" w:hAnsi="Arial"/>
          <w:b/>
          <w:bCs/>
          <w:color w:val="143C53"/>
          <w:sz w:val="34"/>
          <w:szCs w:val="34"/>
        </w:rPr>
        <w:t xml:space="preserve">03  Correspondence 1 of 2</w:t>
      </w:r>
    </w:p>
    <w:p>
      <w:pPr>
        <w:spacing w:after="85" w:line="210"/>
        <w:rPr>
          <w:color w:val="566775"/>
          <w:sz w:val="17"/>
          <w:szCs w:val="17"/>
        </w:rPr>
      </w:pPr>
      <w:r>
        <w:rPr>
          <w:rFonts w:ascii="Arial" w:cs="Arial" w:eastAsia="Arial" w:hAnsi="Arial"/>
          <w:color w:val="566775"/>
          <w:sz w:val="17"/>
          <w:szCs w:val="17"/>
        </w:rPr>
        <w:t xml:space="preserve">Original synthetic excerpts written for this case — not sent messages, account email addresses, or retrieved Microsoft 365 records. All timestamps are LOCAL, UTC+08:00. Reply links preserve the thread chronology.</w:t>
      </w:r>
    </w:p>
    <w:p>
      <w:pPr>
        <w:keepNext/>
        <w:spacing w:after="70" w:before="120"/>
        <w:rPr>
          <w:b/>
          <w:bCs/>
          <w:color w:val="007E87"/>
          <w:sz w:val="23"/>
          <w:szCs w:val="23"/>
        </w:rPr>
      </w:pPr>
      <w:r>
        <w:rPr>
          <w:rFonts w:ascii="Arial" w:cs="Arial" w:eastAsia="Arial" w:hAnsi="Arial"/>
          <w:b/>
          <w:bCs/>
          <w:color w:val="007E87"/>
          <w:sz w:val="23"/>
          <w:szCs w:val="23"/>
        </w:rPr>
        <w:t xml:space="preserve">FINCTX-E01 · 1 September 2026, 09:10 · Email-style note</w:t>
      </w:r>
    </w:p>
    <w:p>
      <w:pPr>
        <w:spacing w:after="85" w:line="210"/>
        <w:rPr>
          <w:color w:val="566775"/>
          <w:sz w:val="17"/>
          <w:szCs w:val="17"/>
        </w:rPr>
      </w:pPr>
      <w:r>
        <w:rPr>
          <w:rFonts w:ascii="Arial" w:cs="Arial" w:eastAsia="Arial" w:hAnsi="Arial"/>
          <w:color w:val="566775"/>
          <w:sz w:val="17"/>
          <w:szCs w:val="17"/>
        </w:rPr>
        <w:t xml:space="preserve">Maya Hartono → Arman Pradipta, Dimas Wicaksono and Nadia Kusuma · August close intake</w:t>
      </w:r>
    </w:p>
    <w:p>
      <w:pPr>
        <w:spacing w:after="95" w:line="250"/>
      </w:pPr>
      <w:r>
        <w:rPr>
          <w:rFonts w:ascii="Arial" w:cs="Arial" w:eastAsia="Arial" w:hAnsi="Arial"/>
        </w:rPr>
        <w:t xml:space="preserve">Please keep the August intake separate from the existing management model. The model still treats August as a forecast, and a clean-looking spreadsheet is not a controller release. The intake includes repeated uploads and items whose status needs resolution. My team is preparing the approved event list and site/account certificates; until that release is available, please do not call the upload population August actuals. For the close discussion, I need invoice revenue, operating costs, development capital and bank movements distinguished. An invoice can be recorded before it is paid, and a purchase commitment is not another expense. Please retain the submitted version so we can explain every subsequent change rather than overwrite the history.</w:t>
      </w:r>
    </w:p>
    <w:p>
      <w:pPr>
        <w:keepNext/>
        <w:spacing w:after="70" w:before="120"/>
        <w:rPr>
          <w:b/>
          <w:bCs/>
          <w:color w:val="007E87"/>
          <w:sz w:val="23"/>
          <w:szCs w:val="23"/>
        </w:rPr>
      </w:pPr>
      <w:r>
        <w:rPr>
          <w:rFonts w:ascii="Arial" w:cs="Arial" w:eastAsia="Arial" w:hAnsi="Arial"/>
          <w:b/>
          <w:bCs/>
          <w:color w:val="007E87"/>
          <w:sz w:val="23"/>
          <w:szCs w:val="23"/>
        </w:rPr>
        <w:t xml:space="preserve">FINCTX-E02 · 2 September 2026, 16:20 · Teams-style reply</w:t>
      </w:r>
    </w:p>
    <w:p>
      <w:pPr>
        <w:spacing w:after="85" w:line="210"/>
        <w:rPr>
          <w:color w:val="566775"/>
          <w:sz w:val="17"/>
          <w:szCs w:val="17"/>
        </w:rPr>
      </w:pPr>
      <w:r>
        <w:rPr>
          <w:rFonts w:ascii="Arial" w:cs="Arial" w:eastAsia="Arial" w:hAnsi="Arial"/>
          <w:color w:val="566775"/>
          <w:sz w:val="17"/>
          <w:szCs w:val="17"/>
        </w:rPr>
        <w:t xml:space="preserve">Dimas Wicaksono → Maya Hartono · Reply to FINCTX-E01: recurring pump reports</w:t>
      </w:r>
    </w:p>
    <w:p>
      <w:pPr>
        <w:spacing w:after="95" w:line="250"/>
      </w:pPr>
      <w:r>
        <w:rPr>
          <w:rFonts w:ascii="Arial" w:cs="Arial" w:eastAsia="Arial" w:hAnsi="Arial"/>
        </w:rPr>
        <w:t xml:space="preserve">I understand why the recurring pump wording looks like an upload replay. The shift team repeats the standard description when the symptom returns after a restart; that does not automatically make two event records the same incident. We need to compare the equipment, start and end times, report IDs and maintenance tickets. Some earlier observations have a later technician revision, which should replace the description rather than create an extra event. I am not asking finance to accept a proven root cause from repeated wording. Please also keep equipment downtime separate from observed whole-plant interruption. Overlapping records can describe simultaneous work, so a sum of equipment minutes would exaggerate the operational exposure presented to the CFO.</w:t>
      </w:r>
    </w:p>
    <w:p>
      <w:pPr>
        <w:keepNext/>
        <w:spacing w:after="70" w:before="120"/>
        <w:rPr>
          <w:b/>
          <w:bCs/>
          <w:color w:val="007E87"/>
          <w:sz w:val="23"/>
          <w:szCs w:val="23"/>
        </w:rPr>
      </w:pPr>
      <w:r>
        <w:rPr>
          <w:rFonts w:ascii="Arial" w:cs="Arial" w:eastAsia="Arial" w:hAnsi="Arial"/>
          <w:b/>
          <w:bCs/>
          <w:color w:val="007E87"/>
          <w:sz w:val="23"/>
          <w:szCs w:val="23"/>
        </w:rPr>
        <w:t xml:space="preserve">FINCTX-E03 · 3 September 2026, 17:00 · Email-style release note</w:t>
      </w:r>
    </w:p>
    <w:p>
      <w:pPr>
        <w:spacing w:after="85" w:line="210"/>
        <w:rPr>
          <w:color w:val="566775"/>
          <w:sz w:val="17"/>
          <w:szCs w:val="17"/>
        </w:rPr>
      </w:pPr>
      <w:r>
        <w:rPr>
          <w:rFonts w:ascii="Arial" w:cs="Arial" w:eastAsia="Arial" w:hAnsi="Arial"/>
          <w:color w:val="566775"/>
          <w:sz w:val="17"/>
          <w:szCs w:val="17"/>
        </w:rPr>
        <w:t xml:space="preserve">Maya Hartono → Close working group · Reply to FINCTX-E01: approved source available</w:t>
      </w:r>
    </w:p>
    <w:p>
      <w:pPr>
        <w:spacing w:after="95" w:line="250"/>
      </w:pPr>
      <w:r>
        <w:rPr>
          <w:rFonts w:ascii="Arial" w:cs="Arial" w:eastAsia="Arial" w:hAnsi="Arial"/>
        </w:rPr>
        <w:t xml:space="preserve">FIN-REL-2026-08-v1 is now the approved synthetic source release. The August selection contains 2,952 approved business events; the 19 held upload rows are not additions to those actuals. Please follow Approved_Batches and keep the scheduled future treasury applications out of the closed month. The controller-supported adjustments are the S01 maintenance accrual of USD 12,500, the S02 power credit of USD 3,400 and the S03 design milestone accrual of USD 8,250. These amounts are already represented in the approved source, so a narrative explaining them is not permission to post them again. The release approves source records, not the formulas in the management workbook or an expansion payment. Preserve the July snapshot and the original budget during the update.</w:t>
      </w:r>
    </w:p>
    <w:p>
      <w:pPr>
        <w:keepNext/>
        <w:spacing w:after="70" w:before="120"/>
        <w:rPr>
          <w:b/>
          <w:bCs/>
          <w:color w:val="007E87"/>
          <w:sz w:val="23"/>
          <w:szCs w:val="23"/>
        </w:rPr>
      </w:pPr>
      <w:r>
        <w:rPr>
          <w:rFonts w:ascii="Arial" w:cs="Arial" w:eastAsia="Arial" w:hAnsi="Arial"/>
          <w:b/>
          <w:bCs/>
          <w:color w:val="007E87"/>
          <w:sz w:val="23"/>
          <w:szCs w:val="23"/>
        </w:rPr>
        <w:t xml:space="preserve">FINCTX-E04 · 4 September 2026, 11:15 · Teams-style challenge</w:t>
      </w:r>
    </w:p>
    <w:p>
      <w:pPr>
        <w:spacing w:after="85" w:line="210"/>
        <w:rPr>
          <w:color w:val="566775"/>
          <w:sz w:val="17"/>
          <w:szCs w:val="17"/>
        </w:rPr>
      </w:pPr>
      <w:r>
        <w:rPr>
          <w:rFonts w:ascii="Arial" w:cs="Arial" w:eastAsia="Arial" w:hAnsi="Arial"/>
          <w:color w:val="566775"/>
          <w:sz w:val="17"/>
          <w:szCs w:val="17"/>
        </w:rPr>
        <w:t xml:space="preserve">Nadia Kusuma → Maya Hartono and Dimas Wicaksono · Reply to FINCTX-E03: treasury basis</w:t>
      </w:r>
    </w:p>
    <w:p>
      <w:pPr>
        <w:spacing w:after="95" w:line="250"/>
      </w:pPr>
      <w:r>
        <w:rPr>
          <w:rFonts w:ascii="Arial" w:cs="Arial" w:eastAsia="Arial" w:hAnsi="Arial"/>
        </w:rPr>
        <w:t xml:space="preserve">The draft deck says August actuals improve the outlook because operating costs appear lower than the model forecast. It also proposes presenting S03 development spend as operating cost for site comparability; Maya has not approved that treatment. I cannot accept the draft as a cash conclusion. Collections follow dated treasury applications, not produced ounces or invoice totals alone; vendor payments have settlement timing and separate bank fees. Show a bridge from the before-review model to a reviewed baseline, then a separate bridge for the approved August update. Otherwise we cannot distinguish corrected logic from actual performance. I also need the December group reserve test and any site funding requirement before we debate discretionary project payments.</w:t>
      </w:r>
    </w:p>
    <w:p>
      <w:pPr>
        <w:keepNext/>
        <w:pageBreakBefore/>
        <w:spacing w:after="160" w:before="0"/>
        <w:rPr>
          <w:b/>
          <w:bCs/>
          <w:color w:val="143C53"/>
          <w:sz w:val="34"/>
          <w:szCs w:val="34"/>
        </w:rPr>
      </w:pPr>
      <w:r>
        <w:rPr>
          <w:rFonts w:ascii="Arial" w:cs="Arial" w:eastAsia="Arial" w:hAnsi="Arial"/>
          <w:b/>
          <w:bCs/>
          <w:color w:val="143C53"/>
          <w:sz w:val="34"/>
          <w:szCs w:val="34"/>
        </w:rPr>
        <w:t xml:space="preserve">04  Correspondence 2 of 2</w:t>
      </w:r>
    </w:p>
    <w:p>
      <w:pPr>
        <w:spacing w:after="85" w:line="210"/>
        <w:rPr>
          <w:color w:val="566775"/>
          <w:sz w:val="17"/>
          <w:szCs w:val="17"/>
        </w:rPr>
      </w:pPr>
      <w:r>
        <w:rPr>
          <w:rFonts w:ascii="Arial" w:cs="Arial" w:eastAsia="Arial" w:hAnsi="Arial"/>
          <w:color w:val="566775"/>
          <w:sz w:val="17"/>
          <w:szCs w:val="17"/>
        </w:rPr>
        <w:t xml:space="preserve">Original synthetic excerpts written for this case — not sent messages, account email addresses, or retrieved Microsoft 365 records. All timestamps are LOCAL, UTC+08:00. Reply links preserve the thread chronology.</w:t>
      </w:r>
    </w:p>
    <w:p>
      <w:pPr>
        <w:keepNext/>
        <w:spacing w:after="70" w:before="120"/>
        <w:rPr>
          <w:b/>
          <w:bCs/>
          <w:color w:val="007E87"/>
          <w:sz w:val="23"/>
          <w:szCs w:val="23"/>
        </w:rPr>
      </w:pPr>
      <w:r>
        <w:rPr>
          <w:rFonts w:ascii="Arial" w:cs="Arial" w:eastAsia="Arial" w:hAnsi="Arial"/>
          <w:b/>
          <w:bCs/>
          <w:color w:val="007E87"/>
          <w:sz w:val="23"/>
          <w:szCs w:val="23"/>
        </w:rPr>
        <w:t xml:space="preserve">FINCTX-E05 · 5 September 2026, 10:40 · Email-style working paper</w:t>
      </w:r>
    </w:p>
    <w:p>
      <w:pPr>
        <w:spacing w:after="85" w:line="210"/>
        <w:rPr>
          <w:color w:val="566775"/>
          <w:sz w:val="17"/>
          <w:szCs w:val="17"/>
        </w:rPr>
      </w:pPr>
      <w:r>
        <w:rPr>
          <w:rFonts w:ascii="Arial" w:cs="Arial" w:eastAsia="Arial" w:hAnsi="Arial"/>
          <w:color w:val="566775"/>
          <w:sz w:val="17"/>
          <w:szCs w:val="17"/>
        </w:rPr>
        <w:t xml:space="preserve">Dimas Wicaksono → Arman Pradipta · New proposal: optional project payment</w:t>
      </w:r>
    </w:p>
    <w:p>
      <w:pPr>
        <w:spacing w:after="95" w:line="250"/>
      </w:pPr>
      <w:r>
        <w:rPr>
          <w:rFonts w:ascii="Arial" w:cs="Arial" w:eastAsia="Arial" w:hAnsi="Arial"/>
        </w:rPr>
        <w:t xml:space="preserve">I propose that we assess an additional optional USD 5,000,000 payment for the S03 next-stage project package before year-end. This is a new proposal, not a statement that it is already in the commitment register or the baseline payment schedule. I would like the board to understand the trade-off between preserving the expansion reserve and potentially enabling the next stage. I do not have an approved engineering package or the required contractor progress certificate in this pack. Please do not interpret lower spend as proof of physical completion. My request is for a conditional decision paper and evidence checklist; no one should instruct treasury to pay from this message or record a second copy of an existing commitment.</w:t>
      </w:r>
    </w:p>
    <w:p>
      <w:pPr>
        <w:keepNext/>
        <w:spacing w:after="70" w:before="120"/>
        <w:rPr>
          <w:b/>
          <w:bCs/>
          <w:color w:val="007E87"/>
          <w:sz w:val="23"/>
          <w:szCs w:val="23"/>
        </w:rPr>
      </w:pPr>
      <w:r>
        <w:rPr>
          <w:rFonts w:ascii="Arial" w:cs="Arial" w:eastAsia="Arial" w:hAnsi="Arial"/>
          <w:b/>
          <w:bCs/>
          <w:color w:val="007E87"/>
          <w:sz w:val="23"/>
          <w:szCs w:val="23"/>
        </w:rPr>
        <w:t xml:space="preserve">FINCTX-E06 · 6 September 2026, 14:10 · Email-style reply</w:t>
      </w:r>
    </w:p>
    <w:p>
      <w:pPr>
        <w:spacing w:after="85" w:line="210"/>
        <w:rPr>
          <w:color w:val="566775"/>
          <w:sz w:val="17"/>
          <w:szCs w:val="17"/>
        </w:rPr>
      </w:pPr>
      <w:r>
        <w:rPr>
          <w:rFonts w:ascii="Arial" w:cs="Arial" w:eastAsia="Arial" w:hAnsi="Arial"/>
          <w:color w:val="566775"/>
          <w:sz w:val="17"/>
          <w:szCs w:val="17"/>
        </w:rPr>
        <w:t xml:space="preserve">Nadia Kusuma → Dimas Wicaksono and Arman Pradipta · Reply to FINCTX-E05: reserve test</w:t>
      </w:r>
    </w:p>
    <w:p>
      <w:pPr>
        <w:spacing w:after="95" w:line="250"/>
      </w:pPr>
      <w:r>
        <w:rPr>
          <w:rFonts w:ascii="Arial" w:cs="Arial" w:eastAsia="Arial" w:hAnsi="Arial"/>
        </w:rPr>
        <w:t xml:space="preserve">I support testing the proposal, not releasing it now. Model_Rules R07 and the DecemberCashThreshold parameter set a USD 45,000,000 internal planning floor for December group cash. It is not a debt covenant. For an initial comparison, show a separate case with the extra USD 5,000,000 paid in December and all other cash assumptions unchanged, alongside the case without it. Identify the new payment explicitly so it is not silently included twice. There is no approved financing offset in this evidence. We still need the actual pay date, the relevant package and component mapping, and release authority. A group reserve above the floor would not by itself certify engineering readiness or authorize a transfer.</w:t>
      </w:r>
    </w:p>
    <w:p>
      <w:pPr>
        <w:keepNext/>
        <w:spacing w:after="70" w:before="120"/>
        <w:rPr>
          <w:b/>
          <w:bCs/>
          <w:color w:val="007E87"/>
          <w:sz w:val="23"/>
          <w:szCs w:val="23"/>
        </w:rPr>
      </w:pPr>
      <w:r>
        <w:rPr>
          <w:rFonts w:ascii="Arial" w:cs="Arial" w:eastAsia="Arial" w:hAnsi="Arial"/>
          <w:b/>
          <w:bCs/>
          <w:color w:val="007E87"/>
          <w:sz w:val="23"/>
          <w:szCs w:val="23"/>
        </w:rPr>
        <w:t xml:space="preserve">FINCTX-E07 · 8 September 2026, 17:35 · Teams-style escalation</w:t>
      </w:r>
    </w:p>
    <w:p>
      <w:pPr>
        <w:spacing w:after="85" w:line="210"/>
        <w:rPr>
          <w:color w:val="566775"/>
          <w:sz w:val="17"/>
          <w:szCs w:val="17"/>
        </w:rPr>
      </w:pPr>
      <w:r>
        <w:rPr>
          <w:rFonts w:ascii="Arial" w:cs="Arial" w:eastAsia="Arial" w:hAnsi="Arial"/>
          <w:color w:val="566775"/>
          <w:sz w:val="17"/>
          <w:szCs w:val="17"/>
        </w:rPr>
        <w:t xml:space="preserve">Arman Pradipta → Close working group · Follow-up to FINCTX-M01 and FINCTX-E06</w:t>
      </w:r>
    </w:p>
    <w:p>
      <w:pPr>
        <w:spacing w:after="95" w:line="250"/>
      </w:pPr>
      <w:r>
        <w:rPr>
          <w:rFonts w:ascii="Arial" w:cs="Arial" w:eastAsia="Arial" w:hAnsi="Arial"/>
        </w:rPr>
        <w:t xml:space="preserve">Yesterday's discussion did not approve a revised forecast, reclassification or payment. The model team's reported December cash of USD 39.305 million is an unapproved spreadsheet claim from the before-review file; please show it as such rather than repeat it as a signed treasury forecast. Bring the source trail and a concise explanation of which conclusions survive independent checks. I want five draft claims challenged: production equals sales, the proposed category treatment is acceptable, identical submissions prove duplicate recurrence, August actuals automatically improve the outlook, and capital underspend proves progress. Do not convert agreement among reviewers into evidence. For the morning discussion, identify the owner of each unresolved point and exactly what would change the decision.</w:t>
      </w:r>
    </w:p>
    <w:p>
      <w:pPr>
        <w:keepNext/>
        <w:spacing w:after="70" w:before="120"/>
        <w:rPr>
          <w:b/>
          <w:bCs/>
          <w:color w:val="007E87"/>
          <w:sz w:val="23"/>
          <w:szCs w:val="23"/>
        </w:rPr>
      </w:pPr>
      <w:r>
        <w:rPr>
          <w:rFonts w:ascii="Arial" w:cs="Arial" w:eastAsia="Arial" w:hAnsi="Arial"/>
          <w:b/>
          <w:bCs/>
          <w:color w:val="007E87"/>
          <w:sz w:val="23"/>
          <w:szCs w:val="23"/>
        </w:rPr>
        <w:t xml:space="preserve">FINCTX-E08 · 9 September 2026, 07:40 · Email-style agenda confirmation</w:t>
      </w:r>
    </w:p>
    <w:p>
      <w:pPr>
        <w:spacing w:after="85" w:line="210"/>
        <w:rPr>
          <w:color w:val="566775"/>
          <w:sz w:val="17"/>
          <w:szCs w:val="17"/>
        </w:rPr>
      </w:pPr>
      <w:r>
        <w:rPr>
          <w:rFonts w:ascii="Arial" w:cs="Arial" w:eastAsia="Arial" w:hAnsi="Arial"/>
          <w:color w:val="566775"/>
          <w:sz w:val="17"/>
          <w:szCs w:val="17"/>
        </w:rPr>
        <w:t xml:space="preserve">Maya Hartono → Arman Pradipta, Dimas Wicaksono and Nadia Kusuma · Reply to FINCTX-E07</w:t>
      </w:r>
    </w:p>
    <w:p>
      <w:pPr>
        <w:spacing w:after="95" w:line="250"/>
      </w:pPr>
      <w:r>
        <w:rPr>
          <w:rFonts w:ascii="Arial" w:cs="Arial" w:eastAsia="Arial" w:hAnsi="Arial"/>
        </w:rPr>
        <w:t xml:space="preserve">The 08:30 close and liquidity review will use the evidence frozen at 08:00 today in this simulation. The financial cut-off remains 31 August, so the September dates on discussions and revisions do not create September actual financial results. Please bring the approved source certificates, the retained before-review model, and the operational history with its source IDs. My proposed order is release completeness, gold and cost bridges, forecast review, then the optional project payment. Any board or weekly pack must carry unresolved questions and approval status, not just a favorable headline. The shortened record of the missed meeting is attached in this same pack. It is a synthetic briefing record, not a recovered Microsoft 365 transcript or a substitute for approval.</w:t>
      </w:r>
    </w:p>
    <w:p>
      <w:pPr>
        <w:keepNext/>
        <w:pageBreakBefore/>
        <w:spacing w:after="160" w:before="0"/>
        <w:rPr>
          <w:b/>
          <w:bCs/>
          <w:color w:val="143C53"/>
          <w:sz w:val="34"/>
          <w:szCs w:val="34"/>
        </w:rPr>
      </w:pPr>
      <w:r>
        <w:rPr>
          <w:rFonts w:ascii="Arial" w:cs="Arial" w:eastAsia="Arial" w:hAnsi="Arial"/>
          <w:b/>
          <w:bCs/>
          <w:color w:val="143C53"/>
          <w:sz w:val="34"/>
          <w:szCs w:val="34"/>
        </w:rPr>
        <w:t xml:space="preserve">05  Missed meeting: close and liquidity</w:t>
      </w:r>
    </w:p>
    <w:p>
      <w:pPr>
        <w:spacing w:after="95" w:line="250"/>
        <w:rPr>
          <w:b/>
          <w:bCs/>
        </w:rPr>
      </w:pPr>
      <w:r>
        <w:rPr>
          <w:rFonts w:ascii="Arial" w:cs="Arial" w:eastAsia="Arial" w:hAnsi="Arial"/>
          <w:b/>
          <w:bCs/>
        </w:rPr>
        <w:t xml:space="preserve">FINCTX-M01 · 7 September 2026, 15:00–15:30 LOCAL · Shortened substantive record</w:t>
      </w:r>
    </w:p>
    <w:p>
      <w:pPr>
        <w:spacing w:after="85" w:line="210"/>
        <w:rPr>
          <w:color w:val="566775"/>
          <w:sz w:val="17"/>
          <w:szCs w:val="17"/>
        </w:rPr>
      </w:pPr>
      <w:r>
        <w:rPr>
          <w:rFonts w:ascii="Arial" w:cs="Arial" w:eastAsia="Arial" w:hAnsi="Arial"/>
          <w:color w:val="566775"/>
          <w:sz w:val="17"/>
          <w:szCs w:val="17"/>
        </w:rPr>
        <w:t xml:space="preserve">Synthetic transcript-style record, frozen into the 9 September 08:00 snapshot. Not a real recording. Procedural actions below do not approve model results, accounting treatment, an engineering gate or a payment.</w:t>
      </w:r>
    </w:p>
    <w:p>
      <w:pPr>
        <w:spacing w:after="95" w:line="238"/>
      </w:pPr>
      <w:r>
        <w:rPr>
          <w:rFonts w:ascii="Arial" w:cs="Arial" w:eastAsia="Arial" w:hAnsi="Arial"/>
        </w:rPr>
        <w:t xml:space="preserve">15:00 · Arman — We have thirty minutes. I missed part of the source review and do not want a polished deck to hide uncertainty. What is approved, what is calculated and what is only proposed? Please state the cut-off before anyone quotes an outlook.</w:t>
      </w:r>
    </w:p>
    <w:p>
      <w:pPr>
        <w:spacing w:after="95" w:line="238"/>
      </w:pPr>
      <w:r>
        <w:rPr>
          <w:rFonts w:ascii="Arial" w:cs="Arial" w:eastAsia="Arial" w:hAnsi="Arial"/>
        </w:rPr>
        <w:t xml:space="preserve">15:03 · Maya — The approved release is FIN-REL-2026-08-v1 with an August cut-off. The before-review model still calls August a forecast. Source approval does not validate that workbook. I can certify the released ledger population within this simulation, not a forward cash number.</w:t>
      </w:r>
    </w:p>
    <w:p>
      <w:pPr>
        <w:spacing w:after="95" w:line="238"/>
      </w:pPr>
      <w:r>
        <w:rPr>
          <w:rFonts w:ascii="Arial" w:cs="Arial" w:eastAsia="Arial" w:hAnsi="Arial"/>
        </w:rPr>
        <w:t xml:space="preserve">15:06 · Dimas — The operating story is being compressed too far. People are treating production as sales and the repeated pump narrative as duplicates. Some reports describe separate restarts. We should examine the event IDs and times, then identify genuine upload replays separately from recurring faults.</w:t>
      </w:r>
    </w:p>
    <w:p>
      <w:pPr>
        <w:spacing w:after="95" w:line="238"/>
      </w:pPr>
      <w:r>
        <w:rPr>
          <w:rFonts w:ascii="Arial" w:cs="Arial" w:eastAsia="Arial" w:hAnsi="Arial"/>
        </w:rPr>
        <w:t xml:space="preserve">15:09 · Nadia — I disagree with the draft's claim that cheaper-looking August costs settle the cash question. Cash collections and supplier settlements have their own timing. The apparent forecast change may include model logic changes. I need a reviewed no-payment baseline before assessing the proposed extra payment.</w:t>
      </w:r>
    </w:p>
    <w:p>
      <w:pPr>
        <w:spacing w:after="95" w:line="238"/>
      </w:pPr>
      <w:r>
        <w:rPr>
          <w:rFonts w:ascii="Arial" w:cs="Arial" w:eastAsia="Arial" w:hAnsi="Arial"/>
        </w:rPr>
        <w:t xml:space="preserve">15:12 · Dimas — My request is still to assess the additional USD 5,000,000 S03 payment. The lower spend against some plans could create room, but I cannot present it as certified construction progress. The stage-gate record says engineering approval is pending and asks for the contractor certificate and remaining commitments.</w:t>
      </w:r>
    </w:p>
    <w:p>
      <w:pPr>
        <w:spacing w:after="95" w:line="238"/>
      </w:pPr>
      <w:r>
        <w:rPr>
          <w:rFonts w:ascii="Arial" w:cs="Arial" w:eastAsia="Arial" w:hAnsi="Arial"/>
        </w:rPr>
        <w:t xml:space="preserve">15:15 · Maya — Then we must not allow the narrative to authorize a category transfer. Operating accounts and development capital have separate rules. The maintenance accrual, power credit and design accrual are already in the approved ledger; listing them again in a bridge must not create another posting.</w:t>
      </w:r>
    </w:p>
    <w:p>
      <w:pPr>
        <w:spacing w:after="95" w:line="238"/>
      </w:pPr>
      <w:r>
        <w:rPr>
          <w:rFonts w:ascii="Arial" w:cs="Arial" w:eastAsia="Arial" w:hAnsi="Arial"/>
        </w:rPr>
        <w:t xml:space="preserve">15:18 · Arman — The model team's December cash statement is USD 39.305 million. That is a claim from an unapproved spreadsheet, not my approved forecast. Show the workbook source and independent checks. I will not infer the corrected result from the reference output or from reviewer agreement.</w:t>
      </w:r>
    </w:p>
    <w:p>
      <w:pPr>
        <w:spacing w:after="95" w:line="238"/>
      </w:pPr>
      <w:r>
        <w:rPr>
          <w:rFonts w:ascii="Arial" w:cs="Arial" w:eastAsia="Arial" w:hAnsi="Arial"/>
        </w:rPr>
        <w:t xml:space="preserve">15:21 · Nadia — The December group reserve is USD 45 million, an internal planning buffer rather than a debt covenant. We should test the optional payment separately, keeping other flows unchanged initially. It reduces cash by its amount, but neither the payment date nor any financing offset is approved here.</w:t>
      </w:r>
    </w:p>
    <w:p>
      <w:pPr>
        <w:spacing w:after="95" w:line="238"/>
      </w:pPr>
      <w:r>
        <w:rPr>
          <w:rFonts w:ascii="Arial" w:cs="Arial" w:eastAsia="Arial" w:hAnsi="Arial"/>
        </w:rPr>
        <w:t xml:space="preserve">15:24 · Dimas — The operational record can support questions about recurrence, not a dollar attribution for lost production. A maintenance work order is not automatically evidence of whole-plant downtime. For S03 I will assemble the engineering and progress evidence; the current status must remain blocked until it is supplied.</w:t>
      </w:r>
    </w:p>
    <w:p>
      <w:pPr>
        <w:spacing w:after="95" w:line="238"/>
      </w:pPr>
      <w:r>
        <w:rPr>
          <w:rFonts w:ascii="Arial" w:cs="Arial" w:eastAsia="Arial" w:hAnsi="Arial"/>
        </w:rPr>
        <w:t xml:space="preserve">15:27 · Arman — Bring a decision register with owners, missing evidence and source IDs to the 9 September morning review. Separate the formula review, the actuals update and the new payment case. Keep the draft claims visible so the board sees what was challenged rather than quietly deleting the disagreement.</w:t>
      </w:r>
    </w:p>
    <w:p>
      <w:pPr>
        <w:spacing w:after="95" w:line="238"/>
      </w:pPr>
      <w:r>
        <w:rPr>
          <w:rFonts w:ascii="Arial" w:cs="Arial" w:eastAsia="Arial" w:hAnsi="Arial"/>
        </w:rPr>
        <w:t xml:space="preserve">15:30 · Record close — Working actions: Maya to reconcile; Dimas to gather operating and project evidence; Nadia to test cash scenarios. No revised forecast, reclassification, stage-gate release or payment was approved. The CFO requested evidence and a further review; final authorization remains open.</w:t>
      </w:r>
    </w:p>
    <w:p>
      <w:pPr>
        <w:keepNext/>
        <w:pageBreakBefore/>
        <w:spacing w:after="160" w:before="0"/>
        <w:rPr>
          <w:b/>
          <w:bCs/>
          <w:color w:val="143C53"/>
          <w:sz w:val="34"/>
          <w:szCs w:val="34"/>
        </w:rPr>
      </w:pPr>
      <w:r>
        <w:rPr>
          <w:rFonts w:ascii="Arial" w:cs="Arial" w:eastAsia="Arial" w:hAnsi="Arial"/>
          <w:b/>
          <w:bCs/>
          <w:color w:val="143C53"/>
          <w:sz w:val="34"/>
          <w:szCs w:val="34"/>
        </w:rPr>
        <w:t xml:space="preserve">06  Certified actuals and forecast challenge</w:t>
      </w:r>
    </w:p>
    <w:p>
      <w:pPr>
        <w:spacing w:after="85" w:line="210"/>
        <w:rPr>
          <w:color w:val="566775"/>
          <w:sz w:val="17"/>
          <w:szCs w:val="17"/>
        </w:rPr>
      </w:pPr>
      <w:r>
        <w:rPr>
          <w:rFonts w:ascii="Arial" w:cs="Arial" w:eastAsia="Arial" w:hAnsi="Arial"/>
          <w:color w:val="566775"/>
          <w:sz w:val="17"/>
          <w:szCs w:val="17"/>
        </w:rPr>
        <w:t xml:space="preserve">USD unless stated. Approved-source actuals are independently summed from 11; Budget is the unchanged plan in 10. Actual minus Budget: positive cost/capex variance is unfavorable. Totals are rounded only for display.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2178"/>
        <w:gridCol w:w="2079"/>
        <w:gridCol w:w="2079"/>
        <w:gridCol w:w="2277"/>
      </w:tblGrid>
      <w:tr>
        <w:trPr>
          <w:cantSplit/>
          <w:tblHeader/>
        </w:trPr>
        <w:tc>
          <w:tcPr>
            <w:tcW w:type="pct" w:w="1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Period</w:t>
            </w:r>
          </w:p>
        </w:tc>
        <w:tc>
          <w:tcPr>
            <w:tcW w:type="pct" w:w="22%"/>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Revenue</w:t>
            </w:r>
          </w:p>
        </w:tc>
        <w:tc>
          <w:tcPr>
            <w:tcW w:type="pct" w:w="2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Opex</w:t>
            </w:r>
          </w:p>
        </w:tc>
        <w:tc>
          <w:tcPr>
            <w:tcW w:type="pct" w:w="2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Capex</w:t>
            </w:r>
          </w:p>
        </w:tc>
        <w:tc>
          <w:tcPr>
            <w:tcW w:type="pct" w:w="2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Operating surplus</w:t>
            </w:r>
          </w:p>
        </w:tc>
      </w:tr>
      <w:tr>
        <w:trPr>
          <w:cantSplit/>
          <w:tblHeader w:val="false"/>
        </w:trPr>
        <w:tc>
          <w:tcPr>
            <w:tcW w:type="pct" w:w="1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June</w:t>
            </w:r>
          </w:p>
        </w:tc>
        <w:tc>
          <w:tcPr>
            <w:tcW w:type="pct" w:w="2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11,816,671.01</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4,951,436.06</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3,958,141.63</w:t>
            </w:r>
          </w:p>
        </w:tc>
        <w:tc>
          <w:tcPr>
            <w:tcW w:type="pct" w:w="2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6,865,234.95</w:t>
            </w:r>
          </w:p>
        </w:tc>
      </w:tr>
      <w:tr>
        <w:trPr>
          <w:cantSplit/>
          <w:tblHeader w:val="false"/>
        </w:trPr>
        <w:tc>
          <w:tcPr>
            <w:tcW w:type="pct" w:w="1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July</w:t>
            </w:r>
          </w:p>
        </w:tc>
        <w:tc>
          <w:tcPr>
            <w:tcW w:type="pct" w:w="2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12,254,316.43</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4,949,257.14</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3,922,798.52</w:t>
            </w:r>
          </w:p>
        </w:tc>
        <w:tc>
          <w:tcPr>
            <w:tcW w:type="pct" w:w="2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7,305,059.29</w:t>
            </w:r>
          </w:p>
        </w:tc>
      </w:tr>
      <w:tr>
        <w:trPr>
          <w:cantSplit/>
          <w:tblHeader w:val="false"/>
        </w:trPr>
        <w:tc>
          <w:tcPr>
            <w:tcW w:type="pct" w:w="1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August</w:t>
            </w:r>
          </w:p>
        </w:tc>
        <w:tc>
          <w:tcPr>
            <w:tcW w:type="pct" w:w="2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11,480,073.77</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4,984,197.50</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3,976,019.22</w:t>
            </w:r>
          </w:p>
        </w:tc>
        <w:tc>
          <w:tcPr>
            <w:tcW w:type="pct" w:w="2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6,495,876.27</w:t>
            </w:r>
          </w:p>
        </w:tc>
      </w:tr>
      <w:tr>
        <w:trPr>
          <w:cantSplit/>
          <w:tblHeader w:val="false"/>
        </w:trPr>
        <w:tc>
          <w:tcPr>
            <w:tcW w:type="pct" w:w="1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Jun–Aug total</w:t>
            </w:r>
          </w:p>
        </w:tc>
        <w:tc>
          <w:tcPr>
            <w:tcW w:type="pct" w:w="2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35,551,061.21</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14,884,890.70</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11,856,959.37</w:t>
            </w:r>
          </w:p>
        </w:tc>
        <w:tc>
          <w:tcPr>
            <w:tcW w:type="pct" w:w="2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20,666,170.51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8"/>
        <w:gridCol w:w="2871"/>
        <w:gridCol w:w="2871"/>
      </w:tblGrid>
      <w:tr>
        <w:trPr>
          <w:cantSplit/>
          <w:tblHeader/>
        </w:trPr>
        <w:tc>
          <w:tcPr>
            <w:tcW w:type="pct" w:w="42%"/>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June–August comparison</w:t>
            </w:r>
          </w:p>
        </w:tc>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Budget</w:t>
            </w:r>
          </w:p>
        </w:tc>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Actual − Budget</w:t>
            </w:r>
          </w:p>
        </w:tc>
      </w:tr>
      <w:tr>
        <w:trPr>
          <w:cantSplit/>
          <w:tblHeader w:val="false"/>
        </w:trPr>
        <w:tc>
          <w:tcPr>
            <w:tcW w:type="pct" w:w="4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Revenue</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37,752,377.33</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-2,201,316.12</w:t>
            </w:r>
          </w:p>
        </w:tc>
      </w:tr>
      <w:tr>
        <w:trPr>
          <w:cantSplit/>
          <w:tblHeader w:val="false"/>
        </w:trPr>
        <w:tc>
          <w:tcPr>
            <w:tcW w:type="pct" w:w="4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Opex</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14,932,069.24</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-47,178.54</w:t>
            </w:r>
          </w:p>
        </w:tc>
      </w:tr>
      <w:tr>
        <w:trPr>
          <w:cantSplit/>
          <w:tblHeader w:val="false"/>
        </w:trPr>
        <w:tc>
          <w:tcPr>
            <w:tcW w:type="pct" w:w="4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Capex</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11,894,964.59</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-38,005.22</w:t>
            </w:r>
          </w:p>
        </w:tc>
      </w:tr>
      <w:tr>
        <w:trPr>
          <w:cantSplit/>
          <w:tblHeader w:val="false"/>
        </w:trPr>
        <w:tc>
          <w:tcPr>
            <w:tcW w:type="pct" w:w="4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Operating surplus</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22,820,308.09</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-2,154,137.58</w:t>
            </w:r>
          </w:p>
        </w:tc>
      </w:tr>
    </w:tbl>
    <w:p>
      <w:pPr>
        <w:spacing w:after="85" w:line="210"/>
        <w:rPr>
          <w:color w:val="566775"/>
          <w:sz w:val="17"/>
          <w:szCs w:val="17"/>
        </w:rPr>
      </w:pPr>
      <w:r>
        <w:rPr>
          <w:rFonts w:ascii="Arial" w:cs="Arial" w:eastAsia="Arial" w:hAnsi="Arial"/>
          <w:color w:val="566775"/>
          <w:sz w:val="17"/>
          <w:szCs w:val="17"/>
        </w:rPr>
        <w:t xml:space="preserve">Source: 11 Gold_Sales!A2:R25; Ledger_Control!A2:H91 (90 certificates); 10 Budget!A2:W22, filter June–August. Operating surplus = invoice revenue less operating costs, before depreciation, finance cost, tax and bank fees; not EBITDA or statutory net income.</w:t>
      </w:r>
    </w:p>
    <w:p>
      <w:pPr>
        <w:keepNext/>
        <w:spacing w:after="70" w:before="120"/>
        <w:rPr>
          <w:b/>
          <w:bCs/>
          <w:color w:val="007E87"/>
          <w:sz w:val="23"/>
          <w:szCs w:val="23"/>
        </w:rPr>
      </w:pPr>
      <w:r>
        <w:rPr>
          <w:rFonts w:ascii="Arial" w:cs="Arial" w:eastAsia="Arial" w:hAnsi="Arial"/>
          <w:b/>
          <w:bCs/>
          <w:color w:val="007E87"/>
          <w:sz w:val="23"/>
          <w:szCs w:val="23"/>
        </w:rPr>
        <w:t xml:space="preserve">August: actual versus submitted forecast, not a validated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6"/>
        <w:gridCol w:w="3069"/>
        <w:gridCol w:w="3465"/>
      </w:tblGrid>
      <w:tr>
        <w:trPr>
          <w:cantSplit/>
          <w:tblHeader/>
        </w:trPr>
        <w:tc>
          <w:tcPr>
            <w:tcW w:type="pct" w:w="34%"/>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Metric</w:t>
            </w:r>
          </w:p>
        </w:tc>
        <w:tc>
          <w:tcPr>
            <w:tcW w:type="pct" w:w="3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Approved actual</w:t>
            </w:r>
          </w:p>
        </w:tc>
        <w:tc>
          <w:tcPr>
            <w:tcW w:type="pct" w:w="35%"/>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10: unapproved forecast</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Revenue · USD</w:t>
            </w:r>
          </w:p>
        </w:tc>
        <w:tc>
          <w:tcPr>
            <w:tcW w:type="pct" w:w="3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11,480,073.77</w:t>
            </w:r>
          </w:p>
        </w:tc>
        <w:tc>
          <w:tcPr>
            <w:tcW w:type="pct" w:w="3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14,156,613.57</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Opex · USD</w:t>
            </w:r>
          </w:p>
        </w:tc>
        <w:tc>
          <w:tcPr>
            <w:tcW w:type="pct" w:w="3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4,984,197.50</w:t>
            </w:r>
          </w:p>
        </w:tc>
        <w:tc>
          <w:tcPr>
            <w:tcW w:type="pct" w:w="3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9,544,066.87</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Capex · USD</w:t>
            </w:r>
          </w:p>
        </w:tc>
        <w:tc>
          <w:tcPr>
            <w:tcW w:type="pct" w:w="3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3,976,019.22</w:t>
            </w:r>
          </w:p>
        </w:tc>
        <w:tc>
          <w:tcPr>
            <w:tcW w:type="pct" w:w="3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4,282,850.07</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Produced · oz</w:t>
            </w:r>
          </w:p>
        </w:tc>
        <w:tc>
          <w:tcPr>
            <w:tcW w:type="pct" w:w="3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4,074.94</w:t>
            </w:r>
          </w:p>
        </w:tc>
        <w:tc>
          <w:tcPr>
            <w:tcW w:type="pct" w:w="3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4,813.29</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Sold · oz</w:t>
            </w:r>
          </w:p>
        </w:tc>
        <w:tc>
          <w:tcPr>
            <w:tcW w:type="pct" w:w="3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3,854.94</w:t>
            </w:r>
          </w:p>
        </w:tc>
        <w:tc>
          <w:tcPr>
            <w:tcW w:type="pct" w:w="3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4,728.29</w:t>
            </w:r>
          </w:p>
        </w:tc>
      </w:tr>
    </w:tbl>
    <w:p>
      <w:pPr>
        <w:spacing w:after="85" w:line="210"/>
        <w:rPr>
          <w:color w:val="566775"/>
          <w:sz w:val="17"/>
          <w:szCs w:val="17"/>
        </w:rPr>
      </w:pPr>
      <w:r>
        <w:rPr>
          <w:rFonts w:ascii="Arial" w:cs="Arial" w:eastAsia="Arial" w:hAnsi="Arial"/>
          <w:color w:val="566775"/>
          <w:sz w:val="17"/>
          <w:szCs w:val="17"/>
        </w:rPr>
        <w:t xml:space="preserve">Actual: 11 sources above plus Operating_Drivers!A2:M185 and Bullion_Counts!A2:H7. Submitted forecast: 10 Management_View, August rows selected by Site/Period; trace assumptions in Forecast_Drivers!A2:N22 and Assumptions. These quoted outputs are claims to reconcile, not a corrected or approved forecast.</w:t>
      </w:r>
    </w:p>
    <w:p>
      <w:pPr>
        <w:spacing w:after="95" w:line="250"/>
      </w:pPr>
      <w:r>
        <w:rPr>
          <w:rFonts w:ascii="Arial" w:cs="Arial" w:eastAsia="Arial" w:hAnsi="Arial"/>
        </w:rPr>
        <w:t xml:space="preserve">August approved revenue is USD 1,286,626.81 below Budget. Revenue is below Budget in each of June, July and August; lower June–July opex only partly offsets the cumulative revenue shortfall. The submitted August production plan assumed 31 days at S01: 2,320 tonnes/day, 1.40 g/t, 91.6% recovery; S02: 1,650 tonnes/day, 1.25 g/t, 89.9%. Actual production and bullion retention differ from those assumptions. Separate volume, price/FX and timing before attributing revenue variance. Neither downtime records alone nor the cost comparison proves an improved cash outlook.</w:t>
      </w:r>
    </w:p>
    <w:p>
      <w:pPr>
        <w:keepNext/>
        <w:pageBreakBefore/>
        <w:spacing w:after="160" w:before="0"/>
        <w:rPr>
          <w:b/>
          <w:bCs/>
          <w:color w:val="143C53"/>
          <w:sz w:val="34"/>
          <w:szCs w:val="34"/>
        </w:rPr>
      </w:pPr>
      <w:r>
        <w:rPr>
          <w:rFonts w:ascii="Arial" w:cs="Arial" w:eastAsia="Arial" w:hAnsi="Arial"/>
          <w:b/>
          <w:bCs/>
          <w:color w:val="143C53"/>
          <w:sz w:val="34"/>
          <w:szCs w:val="34"/>
        </w:rPr>
        <w:t xml:space="preserve">07  Commentary approved at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1"/>
        <w:gridCol w:w="7029"/>
      </w:tblGrid>
      <w:tr>
        <w:trPr>
          <w:cantSplit/>
          <w:tblHeader/>
        </w:trPr>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Approved fact</w:t>
            </w:r>
          </w:p>
        </w:tc>
        <w:tc>
          <w:tcPr>
            <w:tcW w:type="pct" w:w="7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Authority / interpretation boundary</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S01 maintenance accrual +USD 12,500</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COMMENT-01 / CTRL-ADJ-1; 11 Vendor_Commentary!A2:F2 and Ledger_Control!A25:H25, CERT-S01-2026-08-6130. One-time crusher overhaul assumption, not a deduction from production or a pump-loss estimate.</w:t>
            </w:r>
          </w:p>
        </w:tc>
      </w:tr>
      <w:tr>
        <w:trPr>
          <w:cantSplit/>
          <w:tblHeader w:val="false"/>
        </w:trPr>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S02 power credit −USD 3,400</w:t>
            </w:r>
          </w:p>
        </w:tc>
        <w:tc>
          <w:tcPr>
            <w:tcW w:type="pct" w:w="7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COMMENT-02 / CTRL-ADJ-2; 11 Vendor_Commentary!A3:F3 and Ledger_Control!A53:H53, CERT-S02-2026-08-6110. The credit reduces power cost; no tariff, outage or recurrence cause is established.</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S03 design accrual +USD 8,250</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COMMENT-03 / CTRL-ADJ-3; 11 Vendor_Commentary!A4:F4 and Ledger_Control!A86:H86, CERT-S03-2026-08-1540. Development capex, not operating production. Recognition of this accrual does not approve the next construction stage.</w:t>
            </w:r>
          </w:p>
        </w:tc>
      </w:tr>
    </w:tbl>
    <w:p>
      <w:pPr>
        <w:spacing w:after="95" w:line="250"/>
      </w:pPr>
      <w:r>
        <w:rPr>
          <w:rFonts w:ascii="Arial" w:cs="Arial" w:eastAsia="Arial" w:hAnsi="Arial"/>
        </w:rPr>
        <w:t xml:space="preserve">These adjustments are already included in the approved actuals, with net opex adjustment +USD 9,100 and capex adjustment +USD 8,250; do not post them again. August bullion increases from 285 to 420 oz at S01 and 205 to 290 oz at S02. The combined 220 oz retained explains why 4,074.94 oz produced is not 3,854.94 oz sold. Source: 11 Bullion_Counts!A4:H4 and A7:H7; COMMENT-04 and COMMENT-05.</w:t>
      </w:r>
    </w:p>
    <w:p>
      <w:pPr>
        <w:keepNext/>
        <w:spacing w:after="70" w:before="120"/>
        <w:rPr>
          <w:b/>
          <w:bCs/>
          <w:color w:val="007E87"/>
          <w:sz w:val="23"/>
          <w:szCs w:val="23"/>
        </w:rPr>
      </w:pPr>
      <w:r>
        <w:rPr>
          <w:rFonts w:ascii="Arial" w:cs="Arial" w:eastAsia="Arial" w:hAnsi="Arial"/>
          <w:b/>
          <w:bCs/>
          <w:color w:val="007E87"/>
          <w:sz w:val="23"/>
          <w:szCs w:val="23"/>
        </w:rPr>
        <w:t xml:space="preserve">Five draft claims to challenge — not approved conclusions</w:t>
      </w:r>
    </w:p>
    <w:p>
      <w:pPr>
        <w:spacing w:after="75" w:line="240"/>
        <w:ind w:left="130" w:hanging="130"/>
      </w:pPr>
      <w:r>
        <w:rPr>
          <w:rFonts w:ascii="Arial" w:cs="Arial" w:eastAsia="Arial" w:hAnsi="Arial"/>
        </w:rPr>
        <w:t xml:space="preserve">•  “Production equals sales.” Reconcile opening bullion + production − closing bullion with shipped/invoiced ounces; use independent stock counts, not the production forecast as a sales certificate.</w:t>
      </w:r>
    </w:p>
    <w:p>
      <w:pPr>
        <w:spacing w:after="75" w:line="240"/>
        <w:ind w:left="130" w:hanging="130"/>
      </w:pPr>
      <w:r>
        <w:rPr>
          <w:rFonts w:ascii="Arial" w:cs="Arial" w:eastAsia="Arial" w:hAnsi="Arial"/>
        </w:rPr>
        <w:t xml:space="preserve">•  “S03 development spend can be shown as operating cost for comparability.” FINCTX-E04 records this unapproved draft treatment. Compare operating accounts 6100–6190 with development accounts 1500–1590 under 10 Model_Rules R02; a cash payment is not automatically another expense.</w:t>
      </w:r>
    </w:p>
    <w:p>
      <w:pPr>
        <w:spacing w:after="75" w:line="240"/>
        <w:ind w:left="130" w:hanging="130"/>
      </w:pPr>
      <w:r>
        <w:rPr>
          <w:rFonts w:ascii="Arial" w:cs="Arial" w:eastAsia="Arial" w:hAnsi="Arial"/>
        </w:rPr>
        <w:t xml:space="preserve">•  “Identical submissions prove duplicate recurrence.” Separate the 12 held finance replay rows from operational recurrence. Asset OPS26-S01-PU01 has 14 August episodes / 1,390 asset-minutes and four non-closed work orders; common wording alone cannot collapse distinct event IDs.</w:t>
      </w:r>
    </w:p>
    <w:p>
      <w:pPr>
        <w:spacing w:after="75" w:line="240"/>
        <w:ind w:left="130" w:hanging="130"/>
      </w:pPr>
      <w:r>
        <w:rPr>
          <w:rFonts w:ascii="Arial" w:cs="Arial" w:eastAsia="Arial" w:hAnsi="Arial"/>
        </w:rPr>
        <w:t xml:space="preserve">•  “August actuals improve the outlook.” The source release changes August from forecast to actual, but the before-review comparator itself needs review. Separate the logic bridge from the update bridge and then test cash; agreement is not evidence.</w:t>
      </w:r>
    </w:p>
    <w:p>
      <w:pPr>
        <w:spacing w:after="75" w:line="240"/>
        <w:ind w:left="130" w:hanging="130"/>
      </w:pPr>
      <w:r>
        <w:rPr>
          <w:rFonts w:ascii="Arial" w:cs="Arial" w:eastAsia="Arial" w:hAnsi="Arial"/>
        </w:rPr>
        <w:t xml:space="preserve">•  “Capex underspend proves progress.” Compare the relevant plan and timing, then require physical evidence. 12 Project_Progress!A7:J7, OPS26-PRJ006, is BLOCKED: engineering approval, contractor certificate and remaining commitment register are required.</w:t>
      </w:r>
    </w:p>
    <w:p>
      <w:pPr>
        <w:spacing w:after="85" w:line="210"/>
        <w:rPr>
          <w:color w:val="566775"/>
          <w:sz w:val="17"/>
          <w:szCs w:val="17"/>
        </w:rPr>
      </w:pPr>
      <w:r>
        <w:rPr>
          <w:rFonts w:ascii="Arial" w:cs="Arial" w:eastAsia="Arial" w:hAnsi="Arial"/>
          <w:color w:val="566775"/>
          <w:sz w:val="17"/>
          <w:szCs w:val="17"/>
        </w:rPr>
        <w:t xml:space="preserve">Operational trace: 12 Downtime_Events!A2:X407, Maintenance_WorkOrders!A2:W407 and Revision_Log!A2:O11. Impact_Windows!A2:N95 gives 3,065 raw plant-stop minutes versus 2,690 after union by site/date; 375 overlapping minutes must not be counted twice. Asset duration is not plant outage. Missing reasons and unverified causes remain unresolved.</w:t>
      </w:r>
    </w:p>
    <w:p>
      <w:pPr>
        <w:keepNext/>
        <w:pageBreakBefore/>
        <w:spacing w:after="160" w:before="0"/>
        <w:rPr>
          <w:b/>
          <w:bCs/>
          <w:color w:val="143C53"/>
          <w:sz w:val="34"/>
          <w:szCs w:val="34"/>
        </w:rPr>
      </w:pPr>
      <w:r>
        <w:rPr>
          <w:rFonts w:ascii="Arial" w:cs="Arial" w:eastAsia="Arial" w:hAnsi="Arial"/>
          <w:b/>
          <w:bCs/>
          <w:color w:val="143C53"/>
          <w:sz w:val="34"/>
          <w:szCs w:val="34"/>
        </w:rPr>
        <w:t xml:space="preserve">08  Treasury: competing payment proposal</w:t>
      </w:r>
    </w:p>
    <w:p>
      <w:pPr>
        <w:spacing w:after="95" w:line="250"/>
        <w:rPr>
          <w:b/>
          <w:bCs/>
          <w:color w:val="007E87"/>
        </w:rPr>
      </w:pPr>
      <w:r>
        <w:rPr>
          <w:rFonts w:ascii="Arial" w:cs="Arial" w:eastAsia="Arial" w:hAnsi="Arial"/>
          <w:b/>
          <w:bCs/>
          <w:color w:val="007E87"/>
        </w:rPr>
        <w:t xml:space="preserve">FINCTX-P01 • New optional S03 payment • Status: PROPOSAL / NOT APPROVED</w:t>
      </w:r>
    </w:p>
    <w:p>
      <w:pPr>
        <w:spacing w:after="95" w:line="250"/>
      </w:pPr>
      <w:r>
        <w:rPr>
          <w:rFonts w:ascii="Arial" w:cs="Arial" w:eastAsia="Arial" w:hAnsi="Arial"/>
        </w:rPr>
        <w:t xml:space="preserve">Dimas proposes an additional USD 5,000,000 project payment. It is not already a baseline committed payment in this scenario. The proposal is introduced by FINCTX-E05, not by a new approved ledger entry, purchase-order component or bank application. It is a cash-release question; recognition as an asset, advance or expense requires separate evidence and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1"/>
        <w:gridCol w:w="7029"/>
      </w:tblGrid>
      <w:tr>
        <w:trPr>
          <w:cantSplit/>
          <w:tblHeader/>
        </w:trPr>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Position</w:t>
            </w:r>
          </w:p>
        </w:tc>
        <w:tc>
          <w:tcPr>
            <w:tcW w:type="pct" w:w="7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Case and unresolved condition</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Dimas — assess conditional release</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Potential next-stage enablement is a proposal rationale, not a quantified benefit. Obtain engineering approval and contractor progress evidence before presenting it as executable.</w:t>
            </w:r>
          </w:p>
        </w:tc>
      </w:tr>
      <w:tr>
        <w:trPr>
          <w:cantSplit/>
          <w:tblHeader w:val="false"/>
        </w:trPr>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Nadia — retain liquidity until tested</w:t>
            </w:r>
          </w:p>
        </w:tc>
        <w:tc>
          <w:tcPr>
            <w:tcW w:type="pct" w:w="7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Compare the reviewed baseline without the payment and a separately labeled extra-payment case. Require payment date, funding source and assurance that no existing component is counted again.</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Arman — evidence before authority</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 modeled group reserve is one decision input, not permission to pay. No financial conclusion or S03 stage-gate approval is recorded in FINCTX-M01.</w:t>
            </w:r>
          </w:p>
        </w:tc>
      </w:tr>
    </w:tbl>
    <w:p>
      <w:pPr>
        <w:keepNext/>
        <w:spacing w:after="70" w:before="120"/>
        <w:rPr>
          <w:b/>
          <w:bCs/>
          <w:color w:val="007E87"/>
          <w:sz w:val="23"/>
          <w:szCs w:val="23"/>
        </w:rPr>
      </w:pPr>
      <w:r>
        <w:rPr>
          <w:rFonts w:ascii="Arial" w:cs="Arial" w:eastAsia="Arial" w:hAnsi="Arial"/>
          <w:b/>
          <w:bCs/>
          <w:color w:val="007E87"/>
          <w:sz w:val="23"/>
          <w:szCs w:val="23"/>
        </w:rPr>
        <w:t xml:space="preserve">What is known, and what is not</w:t>
      </w:r>
    </w:p>
    <w:p>
      <w:pPr>
        <w:spacing w:after="95" w:line="250"/>
      </w:pPr>
      <w:r>
        <w:rPr>
          <w:rFonts w:ascii="Arial" w:cs="Arial" w:eastAsia="Arial" w:hAnsi="Arial"/>
        </w:rPr>
        <w:t xml:space="preserve">The approved August cash bridge is collections USD 11,835,928.46 less vendor payments USD 8,870,776.92 and bank fees USD 14,783.81 = net cash increase USD 2,950,367.73. June–August net movement is USD 9,132,187.08, from the June opening group cash assumption of USD 19,000,000 to August closing cash USD 28,132,187.08.</w:t>
      </w:r>
    </w:p>
    <w:p>
      <w:pPr>
        <w:spacing w:after="85" w:line="210"/>
        <w:rPr>
          <w:color w:val="566775"/>
          <w:sz w:val="17"/>
          <w:szCs w:val="17"/>
        </w:rPr>
      </w:pPr>
      <w:r>
        <w:rPr>
          <w:rFonts w:ascii="Arial" w:cs="Arial" w:eastAsia="Arial" w:hAnsi="Arial"/>
          <w:color w:val="566775"/>
          <w:sz w:val="17"/>
          <w:szCs w:val="17"/>
        </w:rPr>
        <w:t xml:space="preserve">Cash sources: 11 Collections!A2:R49 and Vendor_Settlements!A2:R4568, filter APPROVED and payment period. Opening cash: 10 Assumptions!J2:M4. Approved actuals do not certify future collections.</w:t>
      </w:r>
    </w:p>
    <w:p>
      <w:pPr>
        <w:spacing w:after="95" w:line="250"/>
      </w:pPr>
      <w:r>
        <w:rPr>
          <w:rFonts w:ascii="Arial" w:cs="Arial" w:eastAsia="Arial" w:hAnsi="Arial"/>
        </w:rPr>
        <w:t xml:space="preserve">The model team's BEFORE output is USD 39,304,641.90 (USD 39.305m), an UNAPPROVED spreadsheet claim: 10 Management_View!A25:H26. The independently stated planning rule is USD 45,000,000 December group cash: 10 Model_Rules!A8:C8, R07; Assumptions!J10:M10, DecemberCashThreshold. This is an internal expansion buffer, not a debt covenant.</w:t>
      </w:r>
    </w:p>
    <w:p>
      <w:pPr>
        <w:keepNext/>
        <w:spacing w:after="70" w:before="120"/>
        <w:rPr>
          <w:b/>
          <w:bCs/>
          <w:color w:val="007E87"/>
          <w:sz w:val="23"/>
          <w:szCs w:val="23"/>
        </w:rPr>
      </w:pPr>
      <w:r>
        <w:rPr>
          <w:rFonts w:ascii="Arial" w:cs="Arial" w:eastAsia="Arial" w:hAnsi="Arial"/>
          <w:b/>
          <w:bCs/>
          <w:color w:val="007E87"/>
          <w:sz w:val="23"/>
          <w:szCs w:val="23"/>
        </w:rPr>
        <w:t xml:space="preserve">Required two-case test</w:t>
      </w:r>
    </w:p>
    <w:p>
      <w:pPr>
        <w:spacing w:after="75" w:line="240"/>
        <w:ind w:left="130" w:hanging="130"/>
      </w:pPr>
      <w:r>
        <w:rPr>
          <w:rFonts w:ascii="Arial" w:cs="Arial" w:eastAsia="Arial" w:hAnsi="Arial"/>
        </w:rPr>
        <w:t xml:space="preserve">•  Case A: reviewed model plus approved August update, WITHOUT the optional payment. Show December closing cash and headroom = closing cash − USD 45m. Keep the pre-update reviewed baseline as a separate bridge, not another payment case.</w:t>
      </w:r>
    </w:p>
    <w:p>
      <w:pPr>
        <w:spacing w:after="75" w:line="240"/>
        <w:ind w:left="130" w:hanging="130"/>
      </w:pPr>
      <w:r>
        <w:rPr>
          <w:rFonts w:ascii="Arial" w:cs="Arial" w:eastAsia="Arial" w:hAnsi="Arial"/>
        </w:rPr>
        <w:t xml:space="preserve">•  Case B: the same basis WITH an incremental USD 5m December outflow, all other flows unchanged. Closing cash and headroom each fall by USD 5m. Do not invent financing, extra production or an approved payment date; December is the test timing, not a booked commitment.</w:t>
      </w:r>
    </w:p>
    <w:p>
      <w:pPr>
        <w:spacing w:after="85" w:line="210"/>
        <w:rPr>
          <w:color w:val="566775"/>
          <w:sz w:val="17"/>
          <w:szCs w:val="17"/>
        </w:rPr>
      </w:pPr>
      <w:r>
        <w:rPr>
          <w:rFonts w:ascii="Arial" w:cs="Arial" w:eastAsia="Arial" w:hAnsi="Arial"/>
          <w:color w:val="566775"/>
          <w:sz w:val="17"/>
          <w:szCs w:val="17"/>
        </w:rPr>
        <w:t xml:space="preserve">Model_Rules R05 / Assumptions!J8:M9: use dated pending settlements for actual-origin balances. Forecast-origin receipts use 88% current / 12% prior forecast month; payments use 82% / 18%. Do not apply prior-month ratios to actual obligations. Separate book applications, settlement FX and fees; estimate only unallocated positive residuals under Settlement_Bridge policy. Capex_Commitments is a component register, not an extra cash outflow.</w:t>
      </w:r>
    </w:p>
    <w:p>
      <w:pPr>
        <w:keepNext/>
        <w:pageBreakBefore/>
        <w:spacing w:after="160" w:before="0"/>
        <w:rPr>
          <w:b/>
          <w:bCs/>
          <w:color w:val="143C53"/>
          <w:sz w:val="34"/>
          <w:szCs w:val="34"/>
        </w:rPr>
      </w:pPr>
      <w:r>
        <w:rPr>
          <w:rFonts w:ascii="Arial" w:cs="Arial" w:eastAsia="Arial" w:hAnsi="Arial"/>
          <w:b/>
          <w:bCs/>
          <w:color w:val="143C53"/>
          <w:sz w:val="34"/>
          <w:szCs w:val="34"/>
        </w:rPr>
        <w:t xml:space="preserve">09  Decision register and reuse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5"/>
        <w:gridCol w:w="3168"/>
        <w:gridCol w:w="4257"/>
      </w:tblGrid>
      <w:tr>
        <w:trPr>
          <w:cantSplit/>
          <w:tblHeader/>
        </w:trPr>
        <w:tc>
          <w:tcPr>
            <w:tcW w:type="pct" w:w="25%"/>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Open decision / owner</w:t>
            </w:r>
          </w:p>
        </w:tc>
        <w:tc>
          <w:tcPr>
            <w:tcW w:type="pct" w:w="32%"/>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Source references</w:t>
            </w:r>
          </w:p>
        </w:tc>
        <w:tc>
          <w:tcPr>
            <w:tcW w:type="pct" w:w="4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Missing evidence / release condition</w:t>
            </w:r>
          </w:p>
        </w:tc>
      </w:tr>
      <w:tr>
        <w:trPr>
          <w:cantSplit/>
          <w:tblHeader w:val="false"/>
        </w:trPr>
        <w:tc>
          <w:tcPr>
            <w:tcW w:type="pct" w:w="2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FINCTX-D01 · Maya</w:t>
            </w:r>
          </w:p>
        </w:tc>
        <w:tc>
          <w:tcPr>
            <w:tcW w:type="pct" w:w="3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FINCTX-E01/E03; 11 Approved_Batches, Data_Quality</w:t>
            </w:r>
          </w:p>
        </w:tc>
        <w:tc>
          <w:tcPr>
            <w:tcW w:type="pct" w:w="4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Applied-update reconciliation and stable-key replay check; approved source alone does not sign off model results.</w:t>
            </w:r>
          </w:p>
        </w:tc>
      </w:tr>
      <w:tr>
        <w:trPr>
          <w:cantSplit/>
          <w:tblHeader w:val="false"/>
        </w:trPr>
        <w:tc>
          <w:tcPr>
            <w:tcW w:type="pct" w:w="2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FINCTX-D02 · Maya</w:t>
            </w:r>
          </w:p>
        </w:tc>
        <w:tc>
          <w:tcPr>
            <w:tcW w:type="pct" w:w="3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FINCTX-E04/E07; 10 Model_Rules; 11 Ledger_Control, Bullion_Counts</w:t>
            </w:r>
          </w:p>
        </w:tc>
        <w:tc>
          <w:tcPr>
            <w:tcW w:type="pct" w:w="4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Independent review log and separate repair/update bridges; resolve all five draft claims.</w:t>
            </w:r>
          </w:p>
        </w:tc>
      </w:tr>
      <w:tr>
        <w:trPr>
          <w:cantSplit/>
          <w:tblHeader w:val="false"/>
        </w:trPr>
        <w:tc>
          <w:tcPr>
            <w:tcW w:type="pct" w:w="2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FINCTX-D03 · Dimas</w:t>
            </w:r>
          </w:p>
        </w:tc>
        <w:tc>
          <w:tcPr>
            <w:tcW w:type="pct" w:w="3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12 Downtime_Events, Revision_Log, Impact_Windows</w:t>
            </w:r>
          </w:p>
        </w:tc>
        <w:tc>
          <w:tcPr>
            <w:tcW w:type="pct" w:w="4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Event-level recurrence and maintenance closure evidence; no causal financial loss estimate is approved.</w:t>
            </w:r>
          </w:p>
        </w:tc>
      </w:tr>
      <w:tr>
        <w:trPr>
          <w:cantSplit/>
          <w:tblHeader w:val="false"/>
        </w:trPr>
        <w:tc>
          <w:tcPr>
            <w:tcW w:type="pct" w:w="2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FINCTX-D04 · Dimas / Arman</w:t>
            </w:r>
          </w:p>
        </w:tc>
        <w:tc>
          <w:tcPr>
            <w:tcW w:type="pct" w:w="3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OPS26-PRJ006; 12 Project_Progress!A7:J7; 11 Capex_Commitments</w:t>
            </w:r>
          </w:p>
        </w:tc>
        <w:tc>
          <w:tcPr>
            <w:tcW w:type="pct" w:w="4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Engineering approval, contractor certificate and remaining component commitments; gate remains blocked.</w:t>
            </w:r>
          </w:p>
        </w:tc>
      </w:tr>
      <w:tr>
        <w:trPr>
          <w:cantSplit/>
          <w:tblHeader w:val="false"/>
        </w:trPr>
        <w:tc>
          <w:tcPr>
            <w:tcW w:type="pct" w:w="2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FINCTX-D05 · Nadia / Arman</w:t>
            </w:r>
          </w:p>
        </w:tc>
        <w:tc>
          <w:tcPr>
            <w:tcW w:type="pct" w:w="3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FINCTX-P01; FINCTX-E05/E06; 10 Assumptions!J10:M10</w:t>
            </w:r>
          </w:p>
        </w:tc>
        <w:tc>
          <w:tcPr>
            <w:tcW w:type="pct" w:w="4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Two-case cash test, dated payment mapping, funding source and written authority; no payment instruction.</w:t>
            </w:r>
          </w:p>
        </w:tc>
      </w:tr>
    </w:tbl>
    <w:p>
      <w:pPr>
        <w:keepNext/>
        <w:spacing w:after="70" w:before="120"/>
        <w:rPr>
          <w:b/>
          <w:bCs/>
          <w:color w:val="007E87"/>
          <w:sz w:val="23"/>
          <w:szCs w:val="23"/>
        </w:rPr>
      </w:pPr>
      <w:r>
        <w:rPr>
          <w:rFonts w:ascii="Arial" w:cs="Arial" w:eastAsia="Arial" w:hAnsi="Arial"/>
          <w:b/>
          <w:bCs/>
          <w:color w:val="007E87"/>
          <w:sz w:val="23"/>
          <w:szCs w:val="23"/>
        </w:rPr>
        <w:t xml:space="preserve">One frozen Researcher prompt</w:t>
      </w:r>
    </w:p>
    <w:p>
      <w:pPr>
        <w:spacing w:after="95" w:line="230"/>
        <w:rPr>
          <w:sz w:val="19"/>
          <w:szCs w:val="19"/>
        </w:rPr>
      </w:pPr>
      <w:r>
        <w:rPr>
          <w:rFonts w:ascii="Arial" w:cs="Arial" w:eastAsia="Arial" w:hAnsi="Arial"/>
          <w:sz w:val="19"/>
          <w:szCs w:val="19"/>
        </w:rPr>
        <w:t xml:space="preserve">Using only 10_Finance_Model_EN.xlsx, 11_August_Update_EN.xlsx, 12_Operations_Detail_EN.xlsx and 13_Management_Evidence_EN.docx, prepare an evidence-cited financial decision brief for CFO Arman Pradipta as of simulated 9 September 2026, 08:00 LOCAL (Singapore, UTC+08:00), financial cut-off 31 August 2026. Reconcile June–August actuals to budget and the submitted forecast; distinguish approved sources, unapproved model claims and proposals. Challenge the five draft claims. Separate model review from the August update; assess December cash against the USD 45m internal planning buffer with and without the new optional USD 5m payment, without double counting. Cite exact workbook sheets/cells or stable event IDs and FINCTX excerpts. Explain competing views, uncertainty, missing evidence, owners and approval conditions. Do not treat reviewer agreement as proof, infer causality from correlation, or use the prebuilt reference output as primary evidence. Return a concise recommendation with an evidence table and decision register; make no payment or publication.</w:t>
      </w:r>
    </w:p>
    <w:p>
      <w:pPr>
        <w:spacing w:after="85" w:line="210"/>
        <w:rPr>
          <w:color w:val="566775"/>
          <w:sz w:val="17"/>
          <w:szCs w:val="17"/>
        </w:rPr>
      </w:pPr>
      <w:r>
        <w:rPr>
          <w:rFonts w:ascii="Arial" w:cs="Arial" w:eastAsia="Arial" w:hAnsi="Arial"/>
          <w:color w:val="566775"/>
          <w:sz w:val="17"/>
          <w:szCs w:val="17"/>
        </w:rPr>
        <w:t xml:space="preserve">Run this exact prompt with the same four files in Researcher Auto/Critique and again in Model Council. Do not reveal one run's output to the other before comparison. Compare evidence quality, dissent and unsupported claims; no mode is guaranteed to be accurate.</w:t>
      </w:r>
    </w:p>
    <w:p>
      <w:pPr>
        <w:keepNext/>
        <w:spacing w:after="70" w:before="120"/>
        <w:rPr>
          <w:b/>
          <w:bCs/>
          <w:color w:val="007E87"/>
          <w:sz w:val="23"/>
          <w:szCs w:val="23"/>
        </w:rPr>
      </w:pPr>
      <w:r>
        <w:rPr>
          <w:rFonts w:ascii="Arial" w:cs="Arial" w:eastAsia="Arial" w:hAnsi="Arial"/>
          <w:b/>
          <w:bCs/>
          <w:color w:val="007E87"/>
          <w:sz w:val="23"/>
          <w:szCs w:val="23"/>
        </w:rPr>
        <w:t xml:space="preserve">Daily briefing and Cowork hand-off</w:t>
      </w:r>
    </w:p>
    <w:p>
      <w:pPr>
        <w:spacing w:after="70" w:line="230"/>
        <w:rPr>
          <w:sz w:val="19"/>
          <w:szCs w:val="19"/>
        </w:rPr>
      </w:pPr>
      <w:r>
        <w:rPr>
          <w:rFonts w:ascii="Arial" w:cs="Arial" w:eastAsia="Arial" w:hAnsi="Arial"/>
          <w:sz w:val="19"/>
          <w:szCs w:val="19"/>
        </w:rPr>
        <w:t xml:space="preserve">Daily briefing (text and HTML): lead with the frozen snapshot, 08:30 agenda, three priority decisions, approved August facts and pending approvals. Cowork board / weekly HTML: reuse the same corpus for an executive summary, actual-versus-plan table, challenged claims, two-case cash comparison and owner/action register. Label financial June–August actuals separately from the September discussion week; do not invent September financial results. Keep source IDs beside claims, unresolved evidence visible and the optional payment marked PROPOSAL. Draft locally for review; do not publish, send or authorize.</w:t>
      </w:r>
    </w:p>
    <w:sectPr>
      <w:headerReference w:type="default" r:id="rId7"/>
      <w:footerReference w:type="default" r:id="rId8"/>
      <w:pgSz w:w="11906" w:h="16838" w:orient="portrait"/>
      <w:pgMar w:top="880" w:right="860" w:bottom="850" w:left="860" w:header="390" w:footer="39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66775"/>
        <w:sz w:val="15"/>
        <w:szCs w:val="15"/>
      </w:rPr>
      <w:t xml:space="preserve">Snapshot 09 Sep 2026 08:00 UTC+08:00  •  Not audited  |  </w:t>
    </w:r>
    <w:r>
      <w:rPr>
        <w:rFonts w:ascii="Arial" w:cs="Arial" w:eastAsia="Arial" w:hAnsi="Arial"/>
        <w:color w:val="566775"/>
        <w:sz w:val="15"/>
        <w:szCs w:val="15"/>
      </w:rPr>
      <w:fldChar w:fldCharType="begin"/>
      <w:instrText xml:space="preserve">PAGE</w:instrText>
      <w:fldChar w:fldCharType="separate"/>
      <w:fldChar w:fldCharType="end"/>
    </w:r>
    <w:r>
      <w:rPr>
        <w:rFonts w:ascii="Arial" w:cs="Arial" w:eastAsia="Arial" w:hAnsi="Arial"/>
        <w:color w:val="566775"/>
        <w:sz w:val="15"/>
        <w:szCs w:val="15"/>
      </w:rPr>
      <w:t xml:space="preserve"> / </w:t>
    </w:r>
    <w:r>
      <w:rPr>
        <w:rFonts w:ascii="Arial" w:cs="Arial" w:eastAsia="Arial" w:hAnsi="Arial"/>
        <w:color w:val="5667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E87" w:sz="7"/>
      </w:pBdr>
      <w:spacing w:after="40"/>
    </w:pPr>
    <w:r>
      <w:rPr>
        <w:rFonts w:ascii="Arial" w:cs="Arial" w:eastAsia="Arial" w:hAnsi="Arial"/>
        <w:b/>
        <w:bCs/>
        <w:color w:val="007E87"/>
        <w:sz w:val="16"/>
        <w:szCs w:val="16"/>
      </w:rPr>
      <w:t xml:space="preserve">CONTOSO MINERALS GROUP</w:t>
    </w:r>
    <w:r>
      <w:rPr>
        <w:rFonts w:ascii="Arial" w:cs="Arial" w:eastAsia="Arial" w:hAnsi="Arial"/>
        <w:color w:val="566775"/>
        <w:sz w:val="16"/>
        <w:szCs w:val="16"/>
      </w:rPr>
      <w:t xml:space="preserve">   |   FINANCE • SYNTHETIC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3847"/>
        <w:sz w:val="21"/>
        <w:szCs w:val="21"/>
      </w:rPr>
    </w:rPrDefault>
    <w:pPrDefault>
      <w:pPr>
        <w:spacing w:after="95"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evidence | August close and liquidity</dc:title>
  <dc:subject>Original synthetic finance evidence, frozen 2026-09-09 08:00 UTC+08:00</dc:subject>
  <dc:creator>Contoso Minerals Group — synthetic training</dc:creator>
  <dc:description>Fictional participant evidence. Not audited. No investment advice. No real Microsoft 365 communications.</dc:description>
  <cp:lastModifiedBy>Un-named</cp:lastModifiedBy>
  <cp:revision>1</cp:revision>
  <dcterms:created xsi:type="dcterms:W3CDTF">2026-09-10T13:42:23.948Z</dcterms:created>
  <dcterms:modified xsi:type="dcterms:W3CDTF">2026-09-10T13:42:23.948Z</dcterms:modified>
</cp:coreProperties>
</file>

<file path=docProps/custom.xml><?xml version="1.0" encoding="utf-8"?>
<Properties xmlns="http://schemas.openxmlformats.org/officeDocument/2006/custom-properties" xmlns:vt="http://schemas.openxmlformats.org/officeDocument/2006/docPropsVTypes"/>
</file>