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— LEGAL MEMORANDUM</w:t>
      </w:r>
    </w:p>
    <w:p>
      <w:r>
        <w:rPr>
          <w:b w:val="0"/>
          <w:sz w:val="20"/>
        </w:rPr>
        <w:t>Contoso Minerals — Divisi Corporate Legal | Template LGL-TMPL-001 | Versi 2.1</w:t>
      </w:r>
    </w:p>
    <w:p/>
    <w:p>
      <w:pPr>
        <w:pStyle w:val="Heading1"/>
      </w:pPr>
      <w:r>
        <w:t>MEMORANDUM HUKUM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Kepada</w:t>
            </w:r>
          </w:p>
        </w:tc>
        <w:tc>
          <w:tcPr>
            <w:tcW w:type="dxa" w:w="4320"/>
          </w:tcPr>
          <w:p>
            <w:r>
              <w:t>[Nama &amp; Jabatan Penerima]</w:t>
            </w:r>
          </w:p>
        </w:tc>
      </w:tr>
      <w:tr>
        <w:tc>
          <w:tcPr>
            <w:tcW w:type="dxa" w:w="4320"/>
          </w:tcPr>
          <w:p>
            <w:r>
              <w:t>Dari</w:t>
            </w:r>
          </w:p>
        </w:tc>
        <w:tc>
          <w:tcPr>
            <w:tcW w:type="dxa" w:w="4320"/>
          </w:tcPr>
          <w:p>
            <w:r>
              <w:t>[Nama Legal Counsel — Contoso Minerals]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[DD Bulan YYYY]</w:t>
            </w:r>
          </w:p>
        </w:tc>
      </w:tr>
      <w:tr>
        <w:tc>
          <w:tcPr>
            <w:tcW w:type="dxa" w:w="4320"/>
          </w:tcPr>
          <w:p>
            <w:r>
              <w:t>Perihal</w:t>
            </w:r>
          </w:p>
        </w:tc>
        <w:tc>
          <w:tcPr>
            <w:tcW w:type="dxa" w:w="4320"/>
          </w:tcPr>
          <w:p>
            <w:r>
              <w:t>[Judul Singkat Isu Hukum]</w:t>
            </w:r>
          </w:p>
        </w:tc>
      </w:tr>
    </w:tbl>
    <w:p/>
    <w:p>
      <w:pPr>
        <w:pStyle w:val="Heading2"/>
      </w:pPr>
      <w:r>
        <w:t>I.  LATAR BELAKANG</w:t>
      </w:r>
    </w:p>
    <w:p>
      <w:r>
        <w:rPr>
          <w:b w:val="0"/>
          <w:sz w:val="22"/>
        </w:rPr>
        <w:t>[Uraikan fakta singkat, dokumen yang ditelaah, dan konteks bisnis yang relevan.]</w:t>
      </w:r>
    </w:p>
    <w:p>
      <w:pPr>
        <w:pStyle w:val="Heading2"/>
      </w:pPr>
      <w:r>
        <w:t>II. PERTANYAAN HUKUM</w:t>
      </w:r>
    </w:p>
    <w:p>
      <w:r>
        <w:rPr>
          <w:b w:val="0"/>
          <w:sz w:val="22"/>
        </w:rPr>
        <w:t>1. [Rumusan isu hukum #1 — harus spesifik dan terjawab dengan ya/tidak atau opsi]</w:t>
      </w:r>
    </w:p>
    <w:p>
      <w:r>
        <w:rPr>
          <w:b w:val="0"/>
          <w:sz w:val="22"/>
        </w:rPr>
        <w:t>2. [Rumusan isu hukum #2]</w:t>
      </w:r>
    </w:p>
    <w:p>
      <w:pPr>
        <w:pStyle w:val="Heading2"/>
      </w:pPr>
      <w:r>
        <w:t>III. ANALISIS HUKUM (IRAC)</w:t>
      </w:r>
    </w:p>
    <w:p>
      <w:r>
        <w:rPr>
          <w:b/>
          <w:sz w:val="22"/>
        </w:rPr>
        <w:t>A. Isu (Issue): [restatement isu]</w:t>
      </w:r>
    </w:p>
    <w:p>
      <w:r>
        <w:rPr>
          <w:b/>
          <w:sz w:val="22"/>
        </w:rPr>
        <w:t>B. Aturan (Rule): [pasal UU/PP/Permen yang relevan, putusan pengadilan, doktrin]</w:t>
      </w:r>
    </w:p>
    <w:p>
      <w:r>
        <w:rPr>
          <w:b/>
          <w:sz w:val="22"/>
        </w:rPr>
        <w:t>C. Penerapan (Application): [bagaimana aturan diterapkan pada fakta Contoso]</w:t>
      </w:r>
    </w:p>
    <w:p>
      <w:r>
        <w:rPr>
          <w:b/>
          <w:sz w:val="22"/>
        </w:rPr>
        <w:t>D. Kesimpulan (Conclusion): [jawaban tegas atas isu]</w:t>
      </w:r>
    </w:p>
    <w:p>
      <w:pPr>
        <w:pStyle w:val="Heading2"/>
      </w:pPr>
      <w:r>
        <w:t>IV. KESIMPULAN</w:t>
      </w:r>
    </w:p>
    <w:p>
      <w:r>
        <w:rPr>
          <w:b w:val="0"/>
          <w:sz w:val="22"/>
        </w:rPr>
        <w:t>[Jawaban ringkas dan tegas atas setiap pertanyaan hukum di Bagian II.]</w:t>
      </w:r>
    </w:p>
    <w:p>
      <w:pPr>
        <w:pStyle w:val="Heading2"/>
      </w:pPr>
      <w:r>
        <w:t>V.  REKOMENDASI &amp; MITIGASI RISIKO</w:t>
      </w:r>
    </w:p>
    <w:p>
      <w:r>
        <w:rPr>
          <w:b w:val="0"/>
          <w:sz w:val="22"/>
        </w:rPr>
        <w:t>1. [Tindakan — Owner — Deadline]</w:t>
      </w:r>
    </w:p>
    <w:p>
      <w:r>
        <w:rPr>
          <w:b w:val="0"/>
          <w:sz w:val="22"/>
        </w:rPr>
        <w:t>2. [Tindakan — Owner — Deadline]</w:t>
      </w:r>
    </w:p>
    <w:p>
      <w:pPr>
        <w:pStyle w:val="Heading2"/>
      </w:pPr>
      <w:r>
        <w:t>VI. LIMITASI &amp; DISCLAIMER</w:t>
      </w:r>
    </w:p>
    <w:p>
      <w:r>
        <w:rPr>
          <w:b w:val="0"/>
          <w:sz w:val="20"/>
        </w:rPr>
        <w:t>Legal Memo ini disusun berdasarkan dokumen dan informasi yang tersedia pada tanggal penerbitan dan tidak berlaku sebagai legal opinion mengikat di luar lingkup pertanyaan yang diajukan.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