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REGULATORY ALERT — Hukumonline Digest</w:t>
      </w:r>
    </w:p>
    <w:p>
      <w:r>
        <w:rPr>
          <w:b w:val="0"/>
          <w:sz w:val="20"/>
        </w:rPr>
        <w:t>Issued: 12 May 2026   |   Source: Hukumonline Pro   |   Distribution: Internal — Contoso Minerals Legal Division</w:t>
      </w:r>
    </w:p>
    <w:p/>
    <w:p>
      <w:pPr>
        <w:pStyle w:val="Heading1"/>
      </w:pPr>
      <w:r>
        <w:t>Subject: Pengetatan Kewajiban Hilirisasi Mineral &amp; Implikasi terhadap Pemegang IUP/IUPK</w:t>
      </w:r>
    </w:p>
    <w:p>
      <w:r>
        <w:rPr>
          <w:b/>
          <w:sz w:val="24"/>
        </w:rPr>
        <w:t>Eksekutif Ringkas</w:t>
      </w:r>
    </w:p>
    <w:p>
      <w:r>
        <w:rPr>
          <w:b w:val="0"/>
          <w:sz w:val="22"/>
        </w:rPr>
        <w:t>Pemerintah menerbitkan Peraturan Menteri ESDM No. 7 Tahun 2026 tentang Perubahan Kedua atas Permen ESDM No. 11 Tahun 2018 tentang Tata Cara Pemberian Wilayah, Perizinan, dan Pelaporan pada Kegiatan Usaha Pertambangan Mineral dan Batubara. Permen baru ini memperketat kewajiban hilirisasi (smelter) bagi pemegang IUP-OP dan IUPK-OP komoditas nikel, bauksit, tembaga, dan timah, dengan tenggat percepatan dari Desember 2027 menjadi Juni 2027.</w:t>
      </w:r>
    </w:p>
    <w:p>
      <w:pPr>
        <w:pStyle w:val="Heading2"/>
      </w:pPr>
      <w:r>
        <w:t>Dasar Hukum Terkait</w:t>
      </w:r>
    </w:p>
    <w:p>
      <w:pPr>
        <w:pStyle w:val="ListBullet"/>
      </w:pPr>
      <w:r>
        <w:t>UU No. 4 Tahun 2009 tentang Pertambangan Mineral dan Batubara (Minerba), sebagaimana diubah dengan UU No. 3 Tahun 2020.</w:t>
      </w:r>
    </w:p>
    <w:p>
      <w:pPr>
        <w:pStyle w:val="ListBullet"/>
      </w:pPr>
      <w:r>
        <w:t>UU No. 6 Tahun 2023 tentang Penetapan Perppu Cipta Kerja menjadi Undang-Undang.</w:t>
      </w:r>
    </w:p>
    <w:p>
      <w:pPr>
        <w:pStyle w:val="ListBullet"/>
      </w:pPr>
      <w:r>
        <w:t>PP No. 96 Tahun 2021 tentang Pelaksanaan Kegiatan Usaha Pertambangan Mineral dan Batubara.</w:t>
      </w:r>
    </w:p>
    <w:p>
      <w:pPr>
        <w:pStyle w:val="ListBullet"/>
      </w:pPr>
      <w:r>
        <w:t>PP No. 25 Tahun 2024 tentang Perubahan atas PP No. 96 Tahun 2021.</w:t>
      </w:r>
    </w:p>
    <w:p>
      <w:pPr>
        <w:pStyle w:val="ListBullet"/>
      </w:pPr>
      <w:r>
        <w:t>Permen ESDM No. 11 Tahun 2018, sebagaimana terakhir diubah dengan Permen ESDM No. 7 Tahun 2026.</w:t>
      </w:r>
    </w:p>
    <w:p>
      <w:pPr>
        <w:pStyle w:val="ListBullet"/>
      </w:pPr>
      <w:r>
        <w:t>Keputusan Menteri ESDM No. 1827 K/30/MEM/2018 tentang Pedoman Pelaksanaan Kaidah Teknik Pertambangan yang Baik.</w:t>
      </w:r>
    </w:p>
    <w:p>
      <w:pPr>
        <w:pStyle w:val="Heading2"/>
      </w:pPr>
      <w:r>
        <w:t>Poin-Poin Perubahan Utama</w:t>
      </w:r>
    </w:p>
    <w:p>
      <w:pPr>
        <w:pStyle w:val="ListBullet"/>
      </w:pPr>
      <w:r>
        <w:t>Pasal 17A — Pemegang IUP-OP wajib menyelesaikan pembangunan fasilitas pemurnian (smelter) paling lambat 30 Juni 2027 (sebelumnya 31 Desember 2027).</w:t>
      </w:r>
    </w:p>
    <w:p>
      <w:pPr>
        <w:pStyle w:val="ListBullet"/>
      </w:pPr>
      <w:r>
        <w:t>Pasal 17B — Kewajiban Divestasi Saham bagi pemegang IUPK PMA: minimal 51% dalam 10 tahun sejak produksi (tidak berubah), namun ditambahkan kewajiban pelaporan progres divestasi setiap semester kepada Dirjen Minerba.</w:t>
      </w:r>
    </w:p>
    <w:p>
      <w:pPr>
        <w:pStyle w:val="ListBullet"/>
      </w:pPr>
      <w:r>
        <w:t>Pasal 22 — Sanksi administratif dipertegas: peringatan tertulis, penghentian sementara, hingga pencabutan IUP bagi yang gagal memenuhi tenggat hilirisasi.</w:t>
      </w:r>
    </w:p>
    <w:p>
      <w:pPr>
        <w:pStyle w:val="ListBullet"/>
      </w:pPr>
      <w:r>
        <w:t>Pasal 27A (baru) — Kewajiban Rencana Pasca Tambang (RPT) wajib disetujui sebelum perpanjangan IUP-OP, dengan jaminan reklamasi minimal Rp 50 miliar untuk komoditas nikel.</w:t>
      </w:r>
    </w:p>
    <w:p>
      <w:pPr>
        <w:pStyle w:val="ListBullet"/>
      </w:pPr>
      <w:r>
        <w:t>Pasal 31 — Perubahan formula royalti untuk bijih nikel ekspor (jika smelter belum operasional): naik dari 10% menjadi 14% dari harga patokan mineral.</w:t>
      </w:r>
    </w:p>
    <w:p>
      <w:pPr>
        <w:pStyle w:val="Heading2"/>
      </w:pPr>
      <w:r>
        <w:t>Implikasi Bagi Contoso Minerals &amp; Anak Holding (AH)</w:t>
      </w:r>
    </w:p>
    <w:p>
      <w:pPr>
        <w:pStyle w:val="ListBullet"/>
      </w:pPr>
      <w:r>
        <w:t>PT Contoso Nickel Sulawesi (AH) — Smelter di Morowali masih 78% progress. Risiko gagal tenggat Juni 2027: paparan royalti tambahan ±USD 18 juta/tahun.</w:t>
      </w:r>
    </w:p>
    <w:p>
      <w:pPr>
        <w:pStyle w:val="ListBullet"/>
      </w:pPr>
      <w:r>
        <w:t>PT Contoso Bauxite Kalimantan (AH) — Belum memiliki komitmen smelter; perlu evaluasi opsi tolling agreement dengan pihak ketiga.</w:t>
      </w:r>
    </w:p>
    <w:p>
      <w:pPr>
        <w:pStyle w:val="ListBullet"/>
      </w:pPr>
      <w:r>
        <w:t>Anggaran reklamasi grup perlu di-top up minimal Rp 120 miliar (3 site) untuk memenuhi syarat Pasal 27A.</w:t>
      </w:r>
    </w:p>
    <w:p>
      <w:pPr>
        <w:pStyle w:val="ListBullet"/>
      </w:pPr>
      <w:r>
        <w:t>Klausul Material Adverse Change pada Perjanjian Kredit Sindikasi USD 450 juta (2024) berpotensi tertrigger; perlu review dan early engagement dengan lender.</w:t>
      </w:r>
    </w:p>
    <w:p>
      <w:pPr>
        <w:pStyle w:val="ListBullet"/>
      </w:pPr>
      <w:r>
        <w:t>Kewajiban pelaporan divestasi semesteran berpotensi mengubah ketentuan informasi material (OJK Reg. 31/POJK.04/2015) bagi entitas Tbk.</w:t>
      </w:r>
    </w:p>
    <w:p>
      <w:pPr>
        <w:pStyle w:val="Heading2"/>
      </w:pPr>
      <w:r>
        <w:t>Tindak Lanjut yang Direkomendasikan (Divisi Corporate Legal)</w:t>
      </w:r>
    </w:p>
    <w:p>
      <w:pPr>
        <w:pStyle w:val="ListBullet"/>
      </w:pPr>
      <w:r>
        <w:t>Susun Legal Memo internal dalam 5 hari kerja untuk Direktur Utama &amp; Direktur Operasi.</w:t>
      </w:r>
    </w:p>
    <w:p>
      <w:pPr>
        <w:pStyle w:val="ListBullet"/>
      </w:pPr>
      <w:r>
        <w:t>Lakukan compliance review terhadap 6 IUP grup yang terdampak.</w:t>
      </w:r>
    </w:p>
    <w:p>
      <w:pPr>
        <w:pStyle w:val="ListBullet"/>
      </w:pPr>
      <w:r>
        <w:t>Koordinasi dengan Divisi Keuangan terkait revisi jaminan reklamasi dan covenant kredit.</w:t>
      </w:r>
    </w:p>
    <w:p>
      <w:pPr>
        <w:pStyle w:val="ListBullet"/>
      </w:pPr>
      <w:r>
        <w:t>Siapkan submission tanggapan publik (public consultation) sebelum 30 Juni 2026.</w:t>
      </w:r>
    </w:p>
    <w:p/>
    <w:p>
      <w:r>
        <w:rPr>
          <w:b w:val="0"/>
          <w:sz w:val="18"/>
        </w:rPr>
        <w:t>— Akhir Regulatory Alert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