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MINERALS — LEGAL KNOWLEDGE BASE</w:t>
      </w:r>
    </w:p>
    <w:p>
      <w:r>
        <w:rPr>
          <w:b w:val="0"/>
          <w:sz w:val="20"/>
        </w:rPr>
        <w:t>Klasifikasi: INTERNAL — Hanya untuk penggunaan Divisi Corporate Legal</w:t>
      </w:r>
    </w:p>
    <w:p>
      <w:r>
        <w:rPr>
          <w:b w:val="0"/>
          <w:sz w:val="20"/>
        </w:rPr>
        <w:t>Versi 3.2  |  Berlaku efektif: 1 Maret 2026  |  Pemilik dokumen: Vice President Corporate Legal</w:t>
      </w:r>
    </w:p>
    <w:p/>
    <w:p>
      <w:pPr>
        <w:pStyle w:val="Heading1"/>
      </w:pPr>
      <w:r>
        <w:t>Bagian I — Pedoman Internal &amp; Kebijakan Hukum</w:t>
      </w:r>
    </w:p>
    <w:p>
      <w:pPr>
        <w:pStyle w:val="Heading2"/>
      </w:pPr>
      <w:r>
        <w:t>1.1 Kebijakan Tata Kelola Hukum Grup Contoso Minerals (LGL-POL-001)</w:t>
      </w:r>
    </w:p>
    <w:p>
      <w:r>
        <w:rPr>
          <w:b w:val="0"/>
          <w:sz w:val="22"/>
        </w:rPr>
        <w:t>Seluruh transaksi material di atas Rp 50 miliar pada Anak Holding (AH) wajib mendapat legal opinion dari Divisi Corporate Legal Holding sebelum eksekusi. Transaksi material didefinisikan sesuai POJK No. 17/POJK.04/2020 tentang Transaksi Material dan Perubahan Kegiatan Usaha.</w:t>
      </w:r>
    </w:p>
    <w:p>
      <w:pPr>
        <w:pStyle w:val="Heading2"/>
      </w:pPr>
      <w:r>
        <w:t>1.2 Pedoman Pemberian Legal Opinion (LGL-SOP-005)</w:t>
      </w:r>
    </w:p>
    <w:p>
      <w:r>
        <w:rPr>
          <w:b w:val="0"/>
          <w:sz w:val="22"/>
        </w:rPr>
        <w:t>Struktur baku Legal Opinion / Legal Memo Contoso Minerals:</w:t>
      </w:r>
    </w:p>
    <w:p>
      <w:pPr>
        <w:pStyle w:val="ListBullet"/>
      </w:pPr>
      <w:r>
        <w:t>I.   Latar Belakang / Background — fakta dan dokumen yang ditelaah</w:t>
      </w:r>
    </w:p>
    <w:p>
      <w:pPr>
        <w:pStyle w:val="ListBullet"/>
      </w:pPr>
      <w:r>
        <w:t>II.  Pertanyaan Hukum / Legal Issues — rumusan isu hukum yang spesifik</w:t>
      </w:r>
    </w:p>
    <w:p>
      <w:pPr>
        <w:pStyle w:val="ListBullet"/>
      </w:pPr>
      <w:r>
        <w:t>III. Analisis Hukum / Legal Analysis — IRAC (Issue–Rule–Application–Conclusion)</w:t>
      </w:r>
    </w:p>
    <w:p>
      <w:pPr>
        <w:pStyle w:val="ListBullet"/>
      </w:pPr>
      <w:r>
        <w:t>IV.  Kesimpulan / Conclusion — jawaban tegas atas tiap isu</w:t>
      </w:r>
    </w:p>
    <w:p>
      <w:pPr>
        <w:pStyle w:val="ListBullet"/>
      </w:pPr>
      <w:r>
        <w:t>V.   Rekomendasi &amp; Mitigasi Risiko — tindakan praktis, owner, dan deadline</w:t>
      </w:r>
    </w:p>
    <w:p>
      <w:pPr>
        <w:pStyle w:val="ListBullet"/>
      </w:pPr>
      <w:r>
        <w:t>VI.  Limitasi &amp; Disclaimer — ruang lingkup dan asumsi</w:t>
      </w:r>
    </w:p>
    <w:p>
      <w:pPr>
        <w:pStyle w:val="Heading2"/>
      </w:pPr>
      <w:r>
        <w:t>1.3 Standar Klausul Wajib (Mandatory Clauses) Untuk Semua Kontrak Grup</w:t>
      </w:r>
    </w:p>
    <w:p>
      <w:pPr>
        <w:pStyle w:val="ListBullet"/>
      </w:pPr>
      <w:r>
        <w:t>Anti-Bribery &amp; Anti-Corruption (ABAC) — mengacu pada UU No. 31/1999 jo. UU No. 20/2001 tentang Tipikor dan UK Bribery Act 2010.</w:t>
      </w:r>
    </w:p>
    <w:p>
      <w:pPr>
        <w:pStyle w:val="ListBullet"/>
      </w:pPr>
      <w:r>
        <w:t>Kepatuhan Sanksi Internasional (OFAC, EU, UN Sanctions).</w:t>
      </w:r>
    </w:p>
    <w:p>
      <w:pPr>
        <w:pStyle w:val="ListBullet"/>
      </w:pPr>
      <w:r>
        <w:t>Klausul Force Majeure mengikuti Pasal 1244–1245 KUHPerdata, mencakup pandemi dan keputusan pemerintah.</w:t>
      </w:r>
    </w:p>
    <w:p>
      <w:pPr>
        <w:pStyle w:val="ListBullet"/>
      </w:pPr>
      <w:r>
        <w:t>Hukum yang Berlaku: Hukum Republik Indonesia.</w:t>
      </w:r>
    </w:p>
    <w:p>
      <w:pPr>
        <w:pStyle w:val="ListBullet"/>
      </w:pPr>
      <w:r>
        <w:t>Penyelesaian Sengketa: BANI Arbitration Center, Jakarta — aturan BANI berlaku, bahasa Indonesia &amp; Inggris.</w:t>
      </w:r>
    </w:p>
    <w:p>
      <w:pPr>
        <w:pStyle w:val="ListBullet"/>
      </w:pPr>
      <w:r>
        <w:t>Hak Audit (Right to Audit) — minimum 5 tahun retensi dokumen oleh counterparty.</w:t>
      </w:r>
    </w:p>
    <w:p>
      <w:pPr>
        <w:pStyle w:val="ListBullet"/>
      </w:pPr>
      <w:r>
        <w:t>Perlindungan Data Pribadi sesuai UU No. 27 Tahun 2022 (UU PDP).</w:t>
      </w:r>
    </w:p>
    <w:p>
      <w:pPr>
        <w:pStyle w:val="Heading1"/>
      </w:pPr>
      <w:r>
        <w:t>Bagian II — Putusan Penting &amp; Yurisprudensi yang Sering Dirujuk</w:t>
      </w:r>
    </w:p>
    <w:p>
      <w:pPr>
        <w:pStyle w:val="Heading2"/>
      </w:pPr>
      <w:r>
        <w:t>2.1 Putusan MA No. 2447 K/Pdt/2021 — Sengketa Tumpang Tindih IUP</w:t>
      </w:r>
    </w:p>
    <w:p>
      <w:r>
        <w:rPr>
          <w:b w:val="0"/>
          <w:sz w:val="22"/>
        </w:rPr>
        <w:t>Mahkamah Agung menegaskan bahwa IUP yang diterbitkan kemudian di atas wilayah IUP yang masih berlaku adalah cacat hukum dan dapat dibatalkan. Implikasi bagi Contoso: wajib clean &amp; clear check via MOMI (Minerba One Map Indonesia) sebelum akuisisi tambang.</w:t>
      </w:r>
    </w:p>
    <w:p>
      <w:pPr>
        <w:pStyle w:val="Heading2"/>
      </w:pPr>
      <w:r>
        <w:t>2.2 Putusan MA No. 593 K/Pdt.Sus-Pailit/2022 — Status Aset Tambang dalam Kepailitan</w:t>
      </w:r>
    </w:p>
    <w:p>
      <w:r>
        <w:rPr>
          <w:b w:val="0"/>
          <w:sz w:val="22"/>
        </w:rPr>
        <w:t>MA memutuskan bahwa IUP-OP tidak otomatis beralih kepada pembeli dalam lelang pailit; wajib re-issuance oleh Menteri ESDM. Dipakai sebagai precedent dalam due diligence M&amp;A Contoso atas target distressed.</w:t>
      </w:r>
    </w:p>
    <w:p>
      <w:pPr>
        <w:pStyle w:val="Heading2"/>
      </w:pPr>
      <w:r>
        <w:t>2.3 Putusan PTUN Jakarta No. 156/G/2023/PTUN.JKT — Pembatalan SK Pencabutan IUP</w:t>
      </w:r>
    </w:p>
    <w:p>
      <w:r>
        <w:rPr>
          <w:b w:val="0"/>
          <w:sz w:val="22"/>
        </w:rPr>
        <w:t>PTUN membatalkan SK pencabutan IUP karena Kementerian ESDM tidak memberikan kesempatan klarifikasi (right to be heard). Precedent kuat untuk membela 3 IUP Contoso yang sempat masuk daftar pencabutan 2024.</w:t>
      </w:r>
    </w:p>
    <w:p>
      <w:pPr>
        <w:pStyle w:val="Heading1"/>
      </w:pPr>
      <w:r>
        <w:t>Bagian III — Daftar Peraturan Aktif (Watchlist)</w:t>
      </w:r>
    </w:p>
    <w:p>
      <w:r>
        <w:rPr>
          <w:b w:val="0"/>
          <w:sz w:val="22"/>
        </w:rPr>
        <w:t>Update terakhir: 1 Maret 2026</w:t>
      </w:r>
    </w:p>
    <w:p>
      <w:pPr>
        <w:pStyle w:val="ListBullet"/>
      </w:pPr>
      <w:r>
        <w:t>UU No. 3/2020 (Minerba) | UU No. 6/2023 (Cipta Kerja) | UU No. 40/2007 (PT) | UU No. 27/2022 (PDP)</w:t>
      </w:r>
    </w:p>
    <w:p>
      <w:pPr>
        <w:pStyle w:val="ListBullet"/>
      </w:pPr>
      <w:r>
        <w:t>PP No. 96/2021 jo. PP No. 25/2024 | PP No. 78/2010 (Reklamasi &amp; Pasca Tambang)</w:t>
      </w:r>
    </w:p>
    <w:p>
      <w:pPr>
        <w:pStyle w:val="ListBullet"/>
      </w:pPr>
      <w:r>
        <w:t>Permen ESDM No. 11/2018 (Perizinan Minerba) | Permen ESDM No. 7/2020 (Divestasi) | Permen LHK No. 7/2021 (Reklamasi)</w:t>
      </w:r>
    </w:p>
    <w:p>
      <w:pPr>
        <w:pStyle w:val="ListBullet"/>
      </w:pPr>
      <w:r>
        <w:t>POJK No. 17/POJK.04/2020 (Transaksi Material) | POJK No. 42/POJK.04/2020 (Afiliasi &amp; Benturan Kepentingan)</w:t>
      </w:r>
    </w:p>
    <w:p>
      <w:pPr>
        <w:pStyle w:val="ListBullet"/>
      </w:pPr>
      <w:r>
        <w:t>Kepmen ESDM No. 1827 K/30/MEM/2018 (Kaidah Teknik Pertambangan yang Baik)</w:t>
      </w:r>
    </w:p>
    <w:p>
      <w:pPr>
        <w:pStyle w:val="Heading1"/>
      </w:pPr>
      <w:r>
        <w:t>Bagian IV — Risk Library: Risiko Hukum Korporat yang Sering Muncul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Mitigasi</w:t>
            </w:r>
          </w:p>
        </w:tc>
      </w:tr>
      <w:tr>
        <w:tc>
          <w:tcPr>
            <w:tcW w:type="dxa" w:w="2160"/>
          </w:tcPr>
          <w:p>
            <w:r>
              <w:t>R-001</w:t>
            </w:r>
          </w:p>
        </w:tc>
        <w:tc>
          <w:tcPr>
            <w:tcW w:type="dxa" w:w="2160"/>
          </w:tcPr>
          <w:p>
            <w:r>
              <w:t>Tumpang tindih IUP / Wilayah Hutan</w:t>
            </w:r>
          </w:p>
        </w:tc>
        <w:tc>
          <w:tcPr>
            <w:tcW w:type="dxa" w:w="2160"/>
          </w:tcPr>
          <w:p>
            <w:r>
              <w:t>Tinggi</w:t>
            </w:r>
          </w:p>
        </w:tc>
        <w:tc>
          <w:tcPr>
            <w:tcW w:type="dxa" w:w="2160"/>
          </w:tcPr>
          <w:p>
            <w:r>
              <w:t>Clean &amp; clear check MOMI + koordinasi KLHK</w:t>
            </w:r>
          </w:p>
        </w:tc>
      </w:tr>
      <w:tr>
        <w:tc>
          <w:tcPr>
            <w:tcW w:type="dxa" w:w="2160"/>
          </w:tcPr>
          <w:p>
            <w:r>
              <w:t>R-002</w:t>
            </w:r>
          </w:p>
        </w:tc>
        <w:tc>
          <w:tcPr>
            <w:tcW w:type="dxa" w:w="2160"/>
          </w:tcPr>
          <w:p>
            <w:r>
              <w:t>Kewajiban Divestasi Saham PMA tidak terpenuhi</w:t>
            </w:r>
          </w:p>
        </w:tc>
        <w:tc>
          <w:tcPr>
            <w:tcW w:type="dxa" w:w="2160"/>
          </w:tcPr>
          <w:p>
            <w:r>
              <w:t>Tinggi</w:t>
            </w:r>
          </w:p>
        </w:tc>
        <w:tc>
          <w:tcPr>
            <w:tcW w:type="dxa" w:w="2160"/>
          </w:tcPr>
          <w:p>
            <w:r>
              <w:t>Roadmap divestasi 10 tahun, valuasi independen</w:t>
            </w:r>
          </w:p>
        </w:tc>
      </w:tr>
      <w:tr>
        <w:tc>
          <w:tcPr>
            <w:tcW w:type="dxa" w:w="2160"/>
          </w:tcPr>
          <w:p>
            <w:r>
              <w:t>R-003</w:t>
            </w:r>
          </w:p>
        </w:tc>
        <w:tc>
          <w:tcPr>
            <w:tcW w:type="dxa" w:w="2160"/>
          </w:tcPr>
          <w:p>
            <w:r>
              <w:t>Pelanggaran kewajiban CSR &amp; PPM</w:t>
            </w:r>
          </w:p>
        </w:tc>
        <w:tc>
          <w:tcPr>
            <w:tcW w:type="dxa" w:w="2160"/>
          </w:tcPr>
          <w:p>
            <w:r>
              <w:t>Sedang</w:t>
            </w:r>
          </w:p>
        </w:tc>
        <w:tc>
          <w:tcPr>
            <w:tcW w:type="dxa" w:w="2160"/>
          </w:tcPr>
          <w:p>
            <w:r>
              <w:t>Anggaran tahunan minimal 2% laba bersih AH</w:t>
            </w:r>
          </w:p>
        </w:tc>
      </w:tr>
      <w:tr>
        <w:tc>
          <w:tcPr>
            <w:tcW w:type="dxa" w:w="2160"/>
          </w:tcPr>
          <w:p>
            <w:r>
              <w:t>R-004</w:t>
            </w:r>
          </w:p>
        </w:tc>
        <w:tc>
          <w:tcPr>
            <w:tcW w:type="dxa" w:w="2160"/>
          </w:tcPr>
          <w:p>
            <w:r>
              <w:t>Sengketa pertanahan dengan masyarakat adat</w:t>
            </w:r>
          </w:p>
        </w:tc>
        <w:tc>
          <w:tcPr>
            <w:tcW w:type="dxa" w:w="2160"/>
          </w:tcPr>
          <w:p>
            <w:r>
              <w:t>Tinggi</w:t>
            </w:r>
          </w:p>
        </w:tc>
        <w:tc>
          <w:tcPr>
            <w:tcW w:type="dxa" w:w="2160"/>
          </w:tcPr>
          <w:p>
            <w:r>
              <w:t>FPIC (Free Prior Informed Consent) protocol</w:t>
            </w:r>
          </w:p>
        </w:tc>
      </w:tr>
      <w:tr>
        <w:tc>
          <w:tcPr>
            <w:tcW w:type="dxa" w:w="2160"/>
          </w:tcPr>
          <w:p>
            <w:r>
              <w:t>R-005</w:t>
            </w:r>
          </w:p>
        </w:tc>
        <w:tc>
          <w:tcPr>
            <w:tcW w:type="dxa" w:w="2160"/>
          </w:tcPr>
          <w:p>
            <w:r>
              <w:t>Pencemaran lingkungan &amp; sanksi pidana lingkungan</w:t>
            </w:r>
          </w:p>
        </w:tc>
        <w:tc>
          <w:tcPr>
            <w:tcW w:type="dxa" w:w="2160"/>
          </w:tcPr>
          <w:p>
            <w:r>
              <w:t>Tinggi</w:t>
            </w:r>
          </w:p>
        </w:tc>
        <w:tc>
          <w:tcPr>
            <w:tcW w:type="dxa" w:w="2160"/>
          </w:tcPr>
          <w:p>
            <w:r>
              <w:t>Compliance UU 32/2009 PPLH + monitoring AMDAL</w:t>
            </w:r>
          </w:p>
        </w:tc>
      </w:tr>
      <w:tr>
        <w:tc>
          <w:tcPr>
            <w:tcW w:type="dxa" w:w="2160"/>
          </w:tcPr>
          <w:p>
            <w:r>
              <w:t>R-006</w:t>
            </w:r>
          </w:p>
        </w:tc>
        <w:tc>
          <w:tcPr>
            <w:tcW w:type="dxa" w:w="2160"/>
          </w:tcPr>
          <w:p>
            <w:r>
              <w:t>Anti-Bribery dalam perizinan</w:t>
            </w:r>
          </w:p>
        </w:tc>
        <w:tc>
          <w:tcPr>
            <w:tcW w:type="dxa" w:w="2160"/>
          </w:tcPr>
          <w:p>
            <w:r>
              <w:t>Tinggi</w:t>
            </w:r>
          </w:p>
        </w:tc>
        <w:tc>
          <w:tcPr>
            <w:tcW w:type="dxa" w:w="2160"/>
          </w:tcPr>
          <w:p>
            <w:r>
              <w:t>Training ABAC tahunan + due diligence pihak ketiga</w:t>
            </w:r>
          </w:p>
        </w:tc>
      </w:tr>
      <w:tr>
        <w:tc>
          <w:tcPr>
            <w:tcW w:type="dxa" w:w="2160"/>
          </w:tcPr>
          <w:p>
            <w:r>
              <w:t>R-007</w:t>
            </w:r>
          </w:p>
        </w:tc>
        <w:tc>
          <w:tcPr>
            <w:tcW w:type="dxa" w:w="2160"/>
          </w:tcPr>
          <w:p>
            <w:r>
              <w:t>Pelanggaran Hak Cipta atas software &amp; data</w:t>
            </w:r>
          </w:p>
        </w:tc>
        <w:tc>
          <w:tcPr>
            <w:tcW w:type="dxa" w:w="2160"/>
          </w:tcPr>
          <w:p>
            <w:r>
              <w:t>Rendah</w:t>
            </w:r>
          </w:p>
        </w:tc>
        <w:tc>
          <w:tcPr>
            <w:tcW w:type="dxa" w:w="2160"/>
          </w:tcPr>
          <w:p>
            <w:r>
              <w:t>License management &amp; open-source review</w:t>
            </w:r>
          </w:p>
        </w:tc>
      </w:tr>
    </w:tbl>
    <w:p/>
    <w:p>
      <w:r>
        <w:rPr>
          <w:b w:val="0"/>
          <w:sz w:val="18"/>
        </w:rPr>
        <w:t>— Akhir Legal Knowledge Base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