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MINERALS — M&amp;A PLAYBOOK &amp; NDA STANDARD (Excerpt)</w:t>
      </w:r>
    </w:p>
    <w:p>
      <w:r>
        <w:rPr>
          <w:b w:val="0"/>
          <w:sz w:val="20"/>
        </w:rPr>
        <w:t>Klasifikasi: INTERNAL  |  Versi 4.0  |  Berlaku: Januari 2026  |  Owner: VP Corporate Legal &amp; VP Strategy</w:t>
      </w:r>
    </w:p>
    <w:p/>
    <w:p>
      <w:pPr>
        <w:pStyle w:val="Heading1"/>
      </w:pPr>
      <w:r>
        <w:t>Bagian A — Prinsip Umum Negosiasi NDA</w:t>
      </w:r>
    </w:p>
    <w:p>
      <w:pPr>
        <w:pStyle w:val="ListBullet"/>
      </w:pPr>
      <w:r>
        <w:t>Default governing law: Hukum Republik Indonesia. Pengecualian harus disetujui VP Corporate Legal.</w:t>
      </w:r>
    </w:p>
    <w:p>
      <w:pPr>
        <w:pStyle w:val="ListBullet"/>
      </w:pPr>
      <w:r>
        <w:t>Default forum penyelesaian sengketa: BANI Jakarta (bukan SIAC), bahasa Indonesia &amp; Inggris.</w:t>
      </w:r>
    </w:p>
    <w:p>
      <w:pPr>
        <w:pStyle w:val="ListBullet"/>
      </w:pPr>
      <w:r>
        <w:t>Term maksimal 3 tahun untuk transaksi yang tidak jadi closing; 5 tahun jika menyangkut data teknik tambang.</w:t>
      </w:r>
    </w:p>
    <w:p>
      <w:pPr>
        <w:pStyle w:val="ListBullet"/>
      </w:pPr>
      <w:r>
        <w:t>Liability cap WAJIB: maksimum 2x nilai transaksi atau USD 5 juta, mana yang lebih rendah.</w:t>
      </w:r>
    </w:p>
    <w:p>
      <w:pPr>
        <w:pStyle w:val="ListBullet"/>
      </w:pPr>
      <w:r>
        <w:t>Larangan klausul indemnity untuk indirect/consequential damages (KUHPerdata Pasal 1247–1248).</w:t>
      </w:r>
    </w:p>
    <w:p>
      <w:pPr>
        <w:pStyle w:val="ListBullet"/>
      </w:pPr>
      <w:r>
        <w:t>Tidak boleh ada klausul eksklusivitas pada NDA — eksklusivitas harus pada Term Sheet terpisah.</w:t>
      </w:r>
    </w:p>
    <w:p>
      <w:pPr>
        <w:pStyle w:val="ListBullet"/>
      </w:pPr>
      <w:r>
        <w:t>Hak untuk retain copy untuk keperluan legal/regulatory hingga 7 tahun (kepatuhan UU Dokumen Perusahaan).</w:t>
      </w:r>
    </w:p>
    <w:p>
      <w:pPr>
        <w:pStyle w:val="ListBullet"/>
      </w:pPr>
      <w:r>
        <w:t>Assignment hanya dengan persetujuan tertulis sebelumnya (mutual consent).</w:t>
      </w:r>
    </w:p>
    <w:p>
      <w:pPr>
        <w:pStyle w:val="Heading1"/>
      </w:pPr>
      <w:r>
        <w:t>Bagian B — Daftar Red Flag (Auto-Reject pada Review)</w:t>
      </w:r>
    </w:p>
    <w:p>
      <w:pPr>
        <w:pStyle w:val="ListBullet"/>
      </w:pPr>
      <w:r>
        <w:t>Governing law selain Indonesia tanpa justifikasi bisnis tertulis.</w:t>
      </w:r>
    </w:p>
    <w:p>
      <w:pPr>
        <w:pStyle w:val="ListBullet"/>
      </w:pPr>
      <w:r>
        <w:t>Liability tanpa cap atau cap di atas 2x nilai transaksi.</w:t>
      </w:r>
    </w:p>
    <w:p>
      <w:pPr>
        <w:pStyle w:val="ListBullet"/>
      </w:pPr>
      <w:r>
        <w:t>Indemnity untuk consequential/punitive damages.</w:t>
      </w:r>
    </w:p>
    <w:p>
      <w:pPr>
        <w:pStyle w:val="ListBullet"/>
      </w:pPr>
      <w:r>
        <w:t>Klausul eksklusivitas di dalam NDA (harus dipisah ke Term Sheet).</w:t>
      </w:r>
    </w:p>
    <w:p>
      <w:pPr>
        <w:pStyle w:val="ListBullet"/>
      </w:pPr>
      <w:r>
        <w:t>Term lebih dari 5 tahun untuk NDA non-teknis.</w:t>
      </w:r>
    </w:p>
    <w:p>
      <w:pPr>
        <w:pStyle w:val="ListBullet"/>
      </w:pPr>
      <w:r>
        <w:t>Kewajiban posting bond untuk injunctive relief diabaikan.</w:t>
      </w:r>
    </w:p>
    <w:p>
      <w:pPr>
        <w:pStyle w:val="ListBullet"/>
      </w:pPr>
      <w:r>
        <w:t>Definisi Confidential Information terlalu luas tanpa carve-out untuk informasi yang sudah public.</w:t>
      </w:r>
    </w:p>
    <w:p>
      <w:pPr>
        <w:pStyle w:val="ListBullet"/>
      </w:pPr>
      <w:r>
        <w:t>Hak assignment unilateral oleh salah satu pihak.</w:t>
      </w:r>
    </w:p>
    <w:p>
      <w:pPr>
        <w:pStyle w:val="ListBullet"/>
      </w:pPr>
      <w:r>
        <w:t>Tidak ada klausul ABAC (Anti-Bribery &amp; Anti-Corruption).</w:t>
      </w:r>
    </w:p>
    <w:p>
      <w:pPr>
        <w:pStyle w:val="ListBullet"/>
      </w:pPr>
      <w:r>
        <w:t>Tidak ada klausul kepatuhan UU PDP (UU 27/2022) untuk pertukaran data pribadi.</w:t>
      </w:r>
    </w:p>
    <w:p>
      <w:pPr>
        <w:pStyle w:val="Heading1"/>
      </w:pPr>
      <w:r>
        <w:t>Bagian C — Standar Klausul Wajib</w:t>
      </w:r>
    </w:p>
    <w:p>
      <w:pPr>
        <w:pStyle w:val="ListBullet"/>
      </w:pPr>
      <w:r>
        <w:t>Pasal Force Majeure mengacu Pasal 1244–1245 KUHPerdata.</w:t>
      </w:r>
    </w:p>
    <w:p>
      <w:pPr>
        <w:pStyle w:val="ListBullet"/>
      </w:pPr>
      <w:r>
        <w:t>Pasal ABAC dengan referensi UU 31/1999 jo. UU 20/2001 + UK Bribery Act 2010 + US FCPA.</w:t>
      </w:r>
    </w:p>
    <w:p>
      <w:pPr>
        <w:pStyle w:val="ListBullet"/>
      </w:pPr>
      <w:r>
        <w:t>Pasal Kepatuhan Sanksi (OFAC/EU/UN).</w:t>
      </w:r>
    </w:p>
    <w:p>
      <w:pPr>
        <w:pStyle w:val="ListBullet"/>
      </w:pPr>
      <w:r>
        <w:t>Pasal Perlindungan Data Pribadi (UU PDP 27/2022) jika ada data personal.</w:t>
      </w:r>
    </w:p>
    <w:p>
      <w:pPr>
        <w:pStyle w:val="ListBullet"/>
      </w:pPr>
      <w:r>
        <w:t>Pasal Survival Obligation — kewajiban kerahasiaan tetap berlaku setelah terminasi.</w:t>
      </w:r>
    </w:p>
    <w:p>
      <w:pPr>
        <w:pStyle w:val="ListBullet"/>
      </w:pPr>
      <w:r>
        <w:t>Carve-out Confidential Information: (i) sudah dalam domain publik, (ii) sudah diketahui sebelumnya, (iii) diperoleh dari pihak ketiga yang sah, (iv) wajib disclose oleh regulator/pengadilan.</w:t>
      </w:r>
    </w:p>
    <w:p>
      <w:pPr>
        <w:pStyle w:val="Heading1"/>
      </w:pPr>
      <w:r>
        <w:t>Bagian D — Matriks Kewenangan Tanda Tangan 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Nilai Transaksi</w:t>
            </w:r>
          </w:p>
        </w:tc>
        <w:tc>
          <w:tcPr>
            <w:tcW w:type="dxa" w:w="2880"/>
          </w:tcPr>
          <w:p>
            <w:r>
              <w:t>Approver Pertama</w:t>
            </w:r>
          </w:p>
        </w:tc>
        <w:tc>
          <w:tcPr>
            <w:tcW w:type="dxa" w:w="2880"/>
          </w:tcPr>
          <w:p>
            <w:r>
              <w:t>Final Signatory</w:t>
            </w:r>
          </w:p>
        </w:tc>
      </w:tr>
      <w:tr>
        <w:tc>
          <w:tcPr>
            <w:tcW w:type="dxa" w:w="2880"/>
          </w:tcPr>
          <w:p>
            <w:r>
              <w:t>&lt; USD 10 juta</w:t>
            </w:r>
          </w:p>
        </w:tc>
        <w:tc>
          <w:tcPr>
            <w:tcW w:type="dxa" w:w="2880"/>
          </w:tcPr>
          <w:p>
            <w:r>
              <w:t>Senior Legal Counsel</w:t>
            </w:r>
          </w:p>
        </w:tc>
        <w:tc>
          <w:tcPr>
            <w:tcW w:type="dxa" w:w="2880"/>
          </w:tcPr>
          <w:p>
            <w:r>
              <w:t>VP Corporate Legal</w:t>
            </w:r>
          </w:p>
        </w:tc>
      </w:tr>
      <w:tr>
        <w:tc>
          <w:tcPr>
            <w:tcW w:type="dxa" w:w="2880"/>
          </w:tcPr>
          <w:p>
            <w:r>
              <w:t>USD 10–100 juta</w:t>
            </w:r>
          </w:p>
        </w:tc>
        <w:tc>
          <w:tcPr>
            <w:tcW w:type="dxa" w:w="2880"/>
          </w:tcPr>
          <w:p>
            <w:r>
              <w:t>VP Corporate Legal</w:t>
            </w:r>
          </w:p>
        </w:tc>
        <w:tc>
          <w:tcPr>
            <w:tcW w:type="dxa" w:w="2880"/>
          </w:tcPr>
          <w:p>
            <w:r>
              <w:t>Direktur Keuangan</w:t>
            </w:r>
          </w:p>
        </w:tc>
      </w:tr>
      <w:tr>
        <w:tc>
          <w:tcPr>
            <w:tcW w:type="dxa" w:w="2880"/>
          </w:tcPr>
          <w:p>
            <w:r>
              <w:t>&gt; USD 100 juta</w:t>
            </w:r>
          </w:p>
        </w:tc>
        <w:tc>
          <w:tcPr>
            <w:tcW w:type="dxa" w:w="2880"/>
          </w:tcPr>
          <w:p>
            <w:r>
              <w:t>Direktur Keuangan + VP Corporate Legal</w:t>
            </w:r>
          </w:p>
        </w:tc>
        <w:tc>
          <w:tcPr>
            <w:tcW w:type="dxa" w:w="2880"/>
          </w:tcPr>
          <w:p>
            <w:r>
              <w:t>Direktur Utama (dengan persetujuan Komisaris jika afiliasi)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