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NON-DISCLOSURE AGREEMENT (DRAFT — RECEIVED FROM COUNTERPARTY)</w:t>
      </w:r>
    </w:p>
    <w:p>
      <w:r>
        <w:rPr>
          <w:b w:val="0"/>
          <w:sz w:val="20"/>
        </w:rPr>
        <w:t>Status: DRAFT v1 (received from Pacific Resources Holdings Pte. Ltd. on 14 May 2026)</w:t>
      </w:r>
    </w:p>
    <w:p>
      <w:r>
        <w:rPr>
          <w:b w:val="0"/>
          <w:sz w:val="20"/>
        </w:rPr>
        <w:t>Target Project: Potential acquisition of 35% stake in PT Sumber Logam Nusantara</w:t>
      </w:r>
    </w:p>
    <w:p/>
    <w:p>
      <w:r>
        <w:rPr>
          <w:b w:val="0"/>
          <w:sz w:val="22"/>
        </w:rPr>
        <w:t>THIS NON-DISCLOSURE AGREEMENT (the "Agreement") is entered into on this ___ day of May 2026, by and between:</w:t>
      </w:r>
    </w:p>
    <w:p/>
    <w:p>
      <w:r>
        <w:rPr>
          <w:b w:val="0"/>
          <w:sz w:val="22"/>
        </w:rPr>
        <w:t>(1) PT CONTOSO MINERALS (Persero), a state-owned holding company duly established under the laws of the Republic of Indonesia, with its registered office at Menara Contoso, Jl. Jenderal Sudirman Kav. 70-71, Jakarta 12910 ("Receiving Party"); and</w:t>
      </w:r>
    </w:p>
    <w:p>
      <w:r>
        <w:rPr>
          <w:b w:val="0"/>
          <w:sz w:val="22"/>
        </w:rPr>
        <w:t>(2) PACIFIC RESOURCES HOLDINGS PTE. LTD., a company incorporated under the laws of Singapore, with its registered office at 80 Raffles Place, #25-01 UOB Plaza, Singapore 048624 ("Disclosing Party").</w:t>
      </w:r>
    </w:p>
    <w:p/>
    <w:p>
      <w:pPr>
        <w:pStyle w:val="Heading2"/>
      </w:pPr>
      <w:r>
        <w:t>1. CONFIDENTIAL INFORMATION</w:t>
      </w:r>
    </w:p>
    <w:p>
      <w:r>
        <w:rPr>
          <w:b w:val="0"/>
          <w:sz w:val="22"/>
        </w:rPr>
        <w:t>"Confidential Information" means any and all information, in whatever form, disclosed by the Disclosing Party to the Receiving Party in connection with the Project, including but not limited to technical, financial, commercial, operational, legal, mining reserve, and reclamation data.</w:t>
      </w:r>
    </w:p>
    <w:p>
      <w:pPr>
        <w:pStyle w:val="Heading2"/>
      </w:pPr>
      <w:r>
        <w:t>2. OBLIGATIONS OF THE RECEIVING PARTY</w:t>
      </w:r>
    </w:p>
    <w:p>
      <w:r>
        <w:rPr>
          <w:b w:val="0"/>
          <w:sz w:val="22"/>
        </w:rPr>
        <w:t>The Receiving Party shall (a) hold the Confidential Information in strict confidence; (b) not disclose to any third party without prior written consent of the Disclosing Party; (c) use the Confidential Information solely for the Purpose.</w:t>
      </w:r>
    </w:p>
    <w:p>
      <w:pPr>
        <w:pStyle w:val="Heading2"/>
      </w:pPr>
      <w:r>
        <w:t>3. TERM</w:t>
      </w:r>
    </w:p>
    <w:p>
      <w:r>
        <w:rPr>
          <w:b w:val="0"/>
          <w:sz w:val="22"/>
        </w:rPr>
        <w:t>This Agreement shall remain in effect for a period of seven (7) years from the Effective Date.</w:t>
      </w:r>
    </w:p>
    <w:p>
      <w:pPr>
        <w:pStyle w:val="Heading2"/>
      </w:pPr>
      <w:r>
        <w:t>4. RETURN OR DESTRUCTION</w:t>
      </w:r>
    </w:p>
    <w:p>
      <w:r>
        <w:rPr>
          <w:b w:val="0"/>
          <w:sz w:val="22"/>
        </w:rPr>
        <w:t>Upon written request, the Receiving Party shall return or destroy all Confidential Information within five (5) Business Days, provided that the Receiving Party may retain one (1) copy for legal archival purposes.</w:t>
      </w:r>
    </w:p>
    <w:p>
      <w:pPr>
        <w:pStyle w:val="Heading2"/>
      </w:pPr>
      <w:r>
        <w:t>5. INDEMNITY</w:t>
      </w:r>
    </w:p>
    <w:p>
      <w:r>
        <w:rPr>
          <w:b w:val="0"/>
          <w:sz w:val="22"/>
        </w:rPr>
        <w:t>The Receiving Party shall indemnify the Disclosing Party for all direct, indirect, consequential, punitive, and special damages arising out of any breach, without any cap or limitation on liability.</w:t>
      </w:r>
    </w:p>
    <w:p>
      <w:pPr>
        <w:pStyle w:val="Heading2"/>
      </w:pPr>
      <w:r>
        <w:t>6. GOVERNING LAW &amp; DISPUTE RESOLUTION</w:t>
      </w:r>
    </w:p>
    <w:p>
      <w:r>
        <w:rPr>
          <w:b w:val="0"/>
          <w:sz w:val="22"/>
        </w:rPr>
        <w:t>This Agreement shall be governed by the laws of Singapore. Any dispute shall be finally resolved by arbitration administered by the Singapore International Arbitration Centre (SIAC), seat of arbitration in Singapore, in the English language.</w:t>
      </w:r>
    </w:p>
    <w:p>
      <w:pPr>
        <w:pStyle w:val="Heading2"/>
      </w:pPr>
      <w:r>
        <w:t>7. EXCLUSIVITY</w:t>
      </w:r>
    </w:p>
    <w:p>
      <w:r>
        <w:rPr>
          <w:b w:val="0"/>
          <w:sz w:val="22"/>
        </w:rPr>
        <w:t>During the term of this Agreement, the Receiving Party shall not, directly or indirectly, evaluate, negotiate, or enter into any transaction with any other party regarding similar assets in Indonesia for a period of twelve (12) months.</w:t>
      </w:r>
    </w:p>
    <w:p>
      <w:pPr>
        <w:pStyle w:val="Heading2"/>
      </w:pPr>
      <w:r>
        <w:t>8. INJUNCTIVE RELIEF</w:t>
      </w:r>
    </w:p>
    <w:p>
      <w:r>
        <w:rPr>
          <w:b w:val="0"/>
          <w:sz w:val="22"/>
        </w:rPr>
        <w:t>The Receiving Party agrees that the Disclosing Party shall be entitled to seek injunctive relief in any court of competent jurisdiction without the requirement of posting a bond.</w:t>
      </w:r>
    </w:p>
    <w:p>
      <w:pPr>
        <w:pStyle w:val="Heading2"/>
      </w:pPr>
      <w:r>
        <w:t>9. ASSIGNMENT</w:t>
      </w:r>
    </w:p>
    <w:p>
      <w:r>
        <w:rPr>
          <w:b w:val="0"/>
          <w:sz w:val="22"/>
        </w:rPr>
        <w:t>The Disclosing Party may assign this Agreement to any of its affiliates without consent of the Receiving Party.</w:t>
      </w:r>
    </w:p>
    <w:p>
      <w:pPr>
        <w:pStyle w:val="Heading2"/>
      </w:pPr>
      <w:r>
        <w:t>10. ENTIRE AGREEMENT</w:t>
      </w:r>
    </w:p>
    <w:p>
      <w:r>
        <w:rPr>
          <w:b w:val="0"/>
          <w:sz w:val="22"/>
        </w:rPr>
        <w:t>This Agreement constitutes the entire agreement between the Parties on the subject matter hereof.</w:t>
      </w:r>
    </w:p>
    <w:p/>
    <w:p>
      <w:r>
        <w:rPr>
          <w:b w:val="0"/>
          <w:sz w:val="20"/>
        </w:rPr>
        <w:t>[Signature blocks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