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76F2A"/>
          <w:sz w:val="22"/>
        </w:rPr>
        <w:t>INTERNAL MEMO</w:t>
      </w:r>
    </w:p>
    <w:p>
      <w:r>
        <w:rPr>
          <w:b/>
          <w:color w:val="1F2D4E"/>
          <w:sz w:val="36"/>
        </w:rPr>
        <w:t>Q1 FY26 Production Review · For the Board Operations Committee</w:t>
      </w:r>
    </w:p>
    <w:p>
      <w:r>
        <w:rPr>
          <w:sz w:val="20"/>
        </w:rPr>
        <w:t>From: Pak Surya Wibawa, General Manager · Operations, Contoso Mining Services</w:t>
      </w:r>
    </w:p>
    <w:p>
      <w:r>
        <w:rPr>
          <w:sz w:val="20"/>
        </w:rPr>
        <w:t>To: Director of Operations · Operating Committee</w:t>
      </w:r>
    </w:p>
    <w:p>
      <w:r>
        <w:rPr>
          <w:sz w:val="20"/>
        </w:rPr>
        <w:t>Date: 22 June 2026 · Classification: Internal</w:t>
      </w:r>
    </w:p>
    <w:p/>
    <w:p>
      <w:r>
        <w:rPr>
          <w:b/>
          <w:color w:val="1F2D4E"/>
          <w:sz w:val="26"/>
        </w:rPr>
        <w:t>Headline</w:t>
      </w:r>
    </w:p>
    <w:p>
      <w:pPr>
        <w:spacing w:after="120"/>
      </w:pPr>
      <w:r>
        <w:t>Q1 FY26 production landed at 21.4M BCM against a plan of 20.6M BCM — 4% above plan and 9% above Q1 FY25. The overperformance was led by Tabang Coal and Martabe Gold EPC; Gunung Bayan underperformed by 6% on equipment availability. Zero LTI across all 14 sites for the quarter.</w:t>
      </w:r>
    </w:p>
    <w:p>
      <w:r>
        <w:rPr>
          <w:b/>
          <w:color w:val="1F2D4E"/>
          <w:sz w:val="26"/>
        </w:rPr>
        <w:t>Situation — what's happening</w:t>
      </w:r>
    </w:p>
    <w:p>
      <w:pPr>
        <w:pStyle w:val="ListBullet"/>
      </w:pPr>
      <w:r>
        <w:t>Total BCM moved: 21.4M (plan 20.6M, +4%). Strongest quarter since Q3 FY24.</w:t>
      </w:r>
    </w:p>
    <w:p>
      <w:pPr>
        <w:pStyle w:val="ListBullet"/>
      </w:pPr>
      <w:r>
        <w:t>OEE across the haul fleet averaged 78% (target 75%). Komatsu PC4000 fleet led at 84%.</w:t>
      </w:r>
    </w:p>
    <w:p>
      <w:pPr>
        <w:pStyle w:val="ListBullet"/>
      </w:pPr>
      <w:r>
        <w:t>Fuel intensity: 0.42 L/BCM (target 0.45). Driven by route optimisation at Tabang.</w:t>
      </w:r>
    </w:p>
    <w:p>
      <w:pPr>
        <w:pStyle w:val="ListBullet"/>
      </w:pPr>
      <w:r>
        <w:t>HSE: zero LTI, zero recordables for 24 consecutive months. 12,400 toolbox talks delivered.</w:t>
      </w:r>
    </w:p>
    <w:p>
      <w:pPr>
        <w:pStyle w:val="ListBullet"/>
      </w:pPr>
      <w:r>
        <w:t>Headcount: 1,208 (+22 vs Q4 FY25). 78% local content sustained on FY25 contracts.</w:t>
      </w:r>
    </w:p>
    <w:p>
      <w:r>
        <w:rPr>
          <w:b/>
          <w:color w:val="1F2D4E"/>
          <w:sz w:val="26"/>
        </w:rPr>
        <w:t>Complication — what is worrying me</w:t>
      </w:r>
    </w:p>
    <w:p>
      <w:pPr>
        <w:pStyle w:val="ListBullet"/>
      </w:pPr>
      <w:r>
        <w:t>Gunung Bayan availability dropped to 71% in March on three unplanned dragline outages.</w:t>
      </w:r>
    </w:p>
    <w:p>
      <w:pPr>
        <w:pStyle w:val="ListBullet"/>
      </w:pPr>
      <w:r>
        <w:t>Diesel hedge unwinds in September — exposure to spot price could add USD 4.2M to Q3 fuel bill.</w:t>
      </w:r>
    </w:p>
    <w:p>
      <w:pPr>
        <w:pStyle w:val="ListBullet"/>
      </w:pPr>
      <w:r>
        <w:t>Two long-serving site superintendents resigned in May; succession bench is thin in East Kalimantan.</w:t>
      </w:r>
    </w:p>
    <w:p>
      <w:pPr>
        <w:pStyle w:val="ListBullet"/>
      </w:pPr>
      <w:r>
        <w:t>RKAB regulatory review in July — preliminary signals suggest a 12% reserve adjustment at Tabang.</w:t>
      </w:r>
    </w:p>
    <w:p>
      <w:r>
        <w:rPr>
          <w:b/>
          <w:color w:val="1F2D4E"/>
          <w:sz w:val="26"/>
        </w:rPr>
        <w:t>Analysis — variance vs plan</w:t>
      </w:r>
    </w:p>
    <w:p>
      <w:pPr>
        <w:spacing w:after="120"/>
      </w:pPr>
      <w:r>
        <w:t>Decomposing the +0.8M BCM variance: Tabang Coal contributed +1.4M (route optimisation, weather), Martabe Gold EPC contributed +0.3M (early commissioning of the new conveyor), Gunung Bayan contributed −0.6M (dragline downtime), Equipment downtime across the portfolio was −0.2M, and Fuel cost overspend offset −0.1M in commercial terms. Net effect: production above plan, commercial position broadly on plan.</w:t>
      </w:r>
    </w:p>
    <w:p>
      <w:r>
        <w:rPr>
          <w:b/>
          <w:color w:val="1F2D4E"/>
          <w:sz w:val="26"/>
        </w:rPr>
        <w:t>Recommendation — what we will do in Q2</w:t>
      </w:r>
    </w:p>
    <w:p>
      <w:pPr>
        <w:pStyle w:val="ListBullet"/>
      </w:pPr>
      <w:r>
        <w:t>Action 1: Accelerate the dragline major-maintenance programme at Gunung Bayan — pull forward by 6 weeks. Owner: Site Manager Gunung Bayan. Cost: USD 2.1M.</w:t>
      </w:r>
    </w:p>
    <w:p>
      <w:pPr>
        <w:pStyle w:val="ListBullet"/>
      </w:pPr>
      <w:r>
        <w:t>Action 2: Lock a partial diesel hedge for Q3-Q4 — target 60% coverage at current strip. Owner: CFO + Procurement. Decision by: 8 July 2026.</w:t>
      </w:r>
    </w:p>
    <w:p>
      <w:pPr>
        <w:pStyle w:val="ListBullet"/>
      </w:pPr>
      <w:r>
        <w:t>Action 3: Open a fast-track succession review for East Kalimantan supers — name two backups per role. Owner: HR Business Partner. Deadline: end of August.</w:t>
      </w:r>
    </w:p>
    <w:p>
      <w:pPr>
        <w:pStyle w:val="ListBullet"/>
      </w:pPr>
      <w:r>
        <w:t>Action 4: Engage with the regulator on the Tabang RKAB review — submit pre-emptive technical brief. Owner: GM Operations + Permits. By: 15 July 2026.</w:t>
      </w:r>
    </w:p>
    <w:p>
      <w:r>
        <w:rPr>
          <w:b/>
          <w:color w:val="1F2D4E"/>
          <w:sz w:val="26"/>
        </w:rPr>
        <w:t>Risks for the next 90 days</w:t>
      </w:r>
    </w:p>
    <w:p>
      <w:pPr>
        <w:pStyle w:val="ListBullet"/>
      </w:pPr>
      <w:r>
        <w:t>Diesel price spike post-hedge unwind — high probability, USD 4-6M impact.</w:t>
      </w:r>
    </w:p>
    <w:p>
      <w:pPr>
        <w:pStyle w:val="ListBullet"/>
      </w:pPr>
      <w:r>
        <w:t>RKAB reserve adjustment at Tabang — medium probability, could reduce FY26 production guidance by 2-3%.</w:t>
      </w:r>
    </w:p>
    <w:p>
      <w:pPr>
        <w:pStyle w:val="ListBullet"/>
      </w:pPr>
      <w:r>
        <w:t>Further dragline failures at Gunung Bayan — medium probability, USD 1-2M impact per event.</w:t>
      </w:r>
    </w:p>
    <w:p>
      <w:r>
        <w:rPr>
          <w:b/>
          <w:color w:val="1F2D4E"/>
          <w:sz w:val="26"/>
        </w:rPr>
        <w:t>Asks from the Committee</w:t>
      </w:r>
    </w:p>
    <w:p>
      <w:pPr>
        <w:pStyle w:val="ListBullet"/>
      </w:pPr>
      <w:r>
        <w:t>Approval to accelerate the Gunung Bayan dragline programme (USD 2.1M, off-cycle capex).</w:t>
      </w:r>
    </w:p>
    <w:p>
      <w:pPr>
        <w:pStyle w:val="ListBullet"/>
      </w:pPr>
      <w:r>
        <w:t>Mandate to engage proactively with the regulator on the Tabang RKAB.</w:t>
      </w:r>
    </w:p>
    <w:p>
      <w:pPr>
        <w:pStyle w:val="ListBullet"/>
      </w:pPr>
      <w:r>
        <w:t>Endorsement of the diesel hedge strategy at the next Capital Committee.</w:t>
      </w:r>
    </w:p>
    <w:p>
      <w:r>
        <w:rPr>
          <w:i/>
          <w:sz w:val="18"/>
        </w:rPr>
        <w:br/>
        <w:t>Prepared by: Pak Surya Wibawa · General Manager · Operations · Contoso Mining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