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Availability — Project Reliability Review</w:t>
      </w:r>
    </w:p>
    <w:p>
      <w:r>
        <w:t>Contoso Mining Services · Strategic Memo · Internal · 05 June 2026</w:t>
      </w:r>
    </w:p>
    <w:p/>
    <w:p>
      <w:pPr>
        <w:pStyle w:val="Heading1"/>
      </w:pPr>
      <w:r>
        <w:t>Executive Summary</w:t>
      </w:r>
    </w:p>
    <w:p>
      <w:r>
        <w:t>Equipment availability is tracking 88% vs an 90% plan. The shortfall is driven by ageing HD 785 fleet in two East Kalimantan sites. We recommend a fleet-renewal capex case, an extended tyre-supply contract, and pursuit of two nickel-downstream EPC tenders that fit our reference base.</w:t>
      </w:r>
    </w:p>
    <w:p>
      <w:pPr>
        <w:pStyle w:val="Heading1"/>
      </w:pPr>
      <w:r>
        <w:t>Where we are</w:t>
      </w:r>
    </w:p>
    <w:p>
      <w:pPr>
        <w:pStyle w:val="ListBullet"/>
      </w:pPr>
      <w:r>
        <w:t>Overburden Removed (Mbcm) — current YTD vs plan; full breakdown in 02 Contoso_KPI_Dashboard.xlsx.</w:t>
      </w:r>
    </w:p>
    <w:p>
      <w:pPr>
        <w:pStyle w:val="ListBullet"/>
      </w:pPr>
      <w:r>
        <w:t>Equipment Availability % — current YTD vs plan; full breakdown in 02 Contoso_KPI_Dashboard.xlsx.</w:t>
      </w:r>
    </w:p>
    <w:p>
      <w:pPr>
        <w:pStyle w:val="ListBullet"/>
      </w:pPr>
      <w:r>
        <w:t>Strip Ratio (actual vs plan) — current YTD vs plan; full breakdown in 02 Contoso_KPI_Dashboard.xlsx.</w:t>
      </w:r>
    </w:p>
    <w:p>
      <w:pPr>
        <w:pStyle w:val="Heading1"/>
      </w:pPr>
      <w:r>
        <w:t>Three Strategic Priorities (FY26 H2)</w:t>
      </w:r>
    </w:p>
    <w:p>
      <w:pPr>
        <w:pStyle w:val="ListNumber"/>
      </w:pPr>
      <w:r>
        <w:t>Fleet-renewal capex case for HD 785 (East Kalimantan).</w:t>
      </w:r>
    </w:p>
    <w:p>
      <w:pPr>
        <w:pStyle w:val="ListNumber"/>
      </w:pPr>
      <w:r>
        <w:t>Extended tyre-supply contract with two suppliers.</w:t>
      </w:r>
    </w:p>
    <w:p>
      <w:pPr>
        <w:pStyle w:val="ListNumber"/>
      </w:pPr>
      <w:r>
        <w:t>Pursue two nickel-downstream EPC tenders (target win 1).</w:t>
      </w:r>
    </w:p>
    <w:p>
      <w:pPr>
        <w:pStyle w:val="Heading1"/>
      </w:pPr>
      <w:r>
        <w:t>Recommended Decision</w:t>
      </w:r>
    </w:p>
    <w:p>
      <w:r>
        <w:t>The Operations Committee is asked to (i) approve the FY26 H2 priorities, (ii) endorse the capex envelope outlined in the appendix, and (iii) authorise the GM to commission a 90-day delivery plan.</w:t>
      </w:r>
    </w:p>
    <w:p>
      <w:pPr>
        <w:pStyle w:val="Heading1"/>
      </w:pPr>
      <w:r>
        <w:t>Risks &amp; Open Questions</w:t>
      </w:r>
    </w:p>
    <w:p>
      <w:pPr>
        <w:pStyle w:val="ListBullet"/>
      </w:pPr>
      <w:r>
        <w:t>Funding envelope confirmation — pending CFO.</w:t>
      </w:r>
    </w:p>
    <w:p>
      <w:pPr>
        <w:pStyle w:val="ListBullet"/>
      </w:pPr>
      <w:r>
        <w:t>Regulatory timeline (where applicable).</w:t>
      </w:r>
    </w:p>
    <w:p>
      <w:pPr>
        <w:pStyle w:val="ListBullet"/>
      </w:pPr>
      <w:r>
        <w:t>Talent availability for accelerated rollout — see HR shortlist.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