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4E"/>
          <w:sz w:val="40"/>
        </w:rPr>
        <w:t>EPC Tender — Kerangka Acuan Kerja (KAK)</w:t>
      </w:r>
    </w:p>
    <w:p>
      <w:r>
        <w:rPr>
          <w:i/>
          <w:color w:val="E76F2A"/>
          <w:sz w:val="22"/>
        </w:rPr>
        <w:t>Contoso Mining Services · Mahakam Coal Handling Facility Upgrade · Confidential</w:t>
      </w:r>
    </w:p>
    <w:p/>
    <w:p>
      <w:r>
        <w:rPr>
          <w:b/>
          <w:color w:val="1F2D4E"/>
          <w:sz w:val="26"/>
        </w:rPr>
        <w:t>1. Project Overview</w:t>
      </w:r>
    </w:p>
    <w:p>
      <w:r>
        <w:t>Contoso Mining Services is awarding an EPC contract for the upgrade of the Mahakam coal handling facility, East Kalimantan. Scope covers detailed engineering, procurement, construction, commissioning and a 12-month defect liability period.</w:t>
      </w:r>
    </w:p>
    <w:p>
      <w:r>
        <w:rPr>
          <w:b/>
          <w:color w:val="1F2D4E"/>
          <w:sz w:val="26"/>
        </w:rPr>
        <w:t>2. Headline Requirements (must-meet)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Contract value (cap)</w:t>
            </w:r>
          </w:p>
        </w:tc>
        <w:tc>
          <w:tcPr>
            <w:tcW w:type="dxa" w:w="4320"/>
          </w:tcPr>
          <w:p>
            <w:r>
              <w:t>USD 78 million, lump-sum turnkey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Delivery timeline</w:t>
            </w:r>
          </w:p>
        </w:tc>
        <w:tc>
          <w:tcPr>
            <w:tcW w:type="dxa" w:w="4320"/>
          </w:tcPr>
          <w:p>
            <w:r>
              <w:t>18 months from NTP to mechanical completion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Throughput target</w:t>
            </w:r>
          </w:p>
        </w:tc>
        <w:tc>
          <w:tcPr>
            <w:tcW w:type="dxa" w:w="4320"/>
          </w:tcPr>
          <w:p>
            <w:r>
              <w:t>12 Mtpa coal handling capacity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Local content (TKDN)</w:t>
            </w:r>
          </w:p>
        </w:tc>
        <w:tc>
          <w:tcPr>
            <w:tcW w:type="dxa" w:w="4320"/>
          </w:tcPr>
          <w:p>
            <w:r>
              <w:t>Minimum 65%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HSE</w:t>
            </w:r>
          </w:p>
        </w:tc>
        <w:tc>
          <w:tcPr>
            <w:tcW w:type="dxa" w:w="4320"/>
          </w:tcPr>
          <w:p>
            <w:r>
              <w:t>LTI rate &lt; 0.3 per 200,000 hours · ISO 45001 certified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Engineering bench</w:t>
            </w:r>
          </w:p>
        </w:tc>
        <w:tc>
          <w:tcPr>
            <w:tcW w:type="dxa" w:w="4320"/>
          </w:tcPr>
          <w:p>
            <w:r>
              <w:t>Minimum 40 in-house engineers across mechanical, civil, E&amp;I, process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 projects</w:t>
            </w:r>
          </w:p>
        </w:tc>
        <w:tc>
          <w:tcPr>
            <w:tcW w:type="dxa" w:w="4320"/>
          </w:tcPr>
          <w:p>
            <w:r>
              <w:t>At least 3 coal handling EPC projects ≥ USD 40m in last 5 years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Financial standing</w:t>
            </w:r>
          </w:p>
        </w:tc>
        <w:tc>
          <w:tcPr>
            <w:tcW w:type="dxa" w:w="4320"/>
          </w:tcPr>
          <w:p>
            <w:r>
              <w:t>Audited revenue ≥ USD 120m in FY25 · positive EBITDA 3 yrs running</w:t>
            </w:r>
          </w:p>
        </w:tc>
      </w:tr>
    </w:tbl>
    <w:p>
      <w:r>
        <w:rPr>
          <w:b/>
          <w:color w:val="1F2D4E"/>
          <w:sz w:val="26"/>
        </w:rPr>
        <w:t>3. Evaluation Weighting</w:t>
      </w:r>
    </w:p>
    <w:p>
      <w:pPr>
        <w:pStyle w:val="ListBullet"/>
      </w:pPr>
      <w:r>
        <w:t>Technical capability and reference fit — 35%</w:t>
      </w:r>
    </w:p>
    <w:p>
      <w:pPr>
        <w:pStyle w:val="ListBullet"/>
      </w:pPr>
      <w:r>
        <w:t>Schedule confidence and resource plan — 20%</w:t>
      </w:r>
    </w:p>
    <w:p>
      <w:pPr>
        <w:pStyle w:val="ListBullet"/>
      </w:pPr>
      <w:r>
        <w:t>Commercial competitiveness vs KAK budget — 25%</w:t>
      </w:r>
    </w:p>
    <w:p>
      <w:pPr>
        <w:pStyle w:val="ListBullet"/>
      </w:pPr>
      <w:r>
        <w:t>HSE record and management system — 15%</w:t>
      </w:r>
    </w:p>
    <w:p>
      <w:pPr>
        <w:pStyle w:val="ListBullet"/>
      </w:pPr>
      <w:r>
        <w:t>Local content and ESG — 5%</w:t>
      </w:r>
    </w:p>
    <w:p>
      <w:r>
        <w:rPr>
          <w:b/>
          <w:color w:val="1F2D4E"/>
          <w:sz w:val="26"/>
        </w:rPr>
        <w:t>4. Decision Timeline</w:t>
      </w:r>
    </w:p>
    <w:p>
      <w:pPr>
        <w:pStyle w:val="ListBullet"/>
      </w:pPr>
      <w:r>
        <w:t>Bid clarifications close: 7 working days after issue</w:t>
      </w:r>
    </w:p>
    <w:p>
      <w:pPr>
        <w:pStyle w:val="ListBullet"/>
      </w:pPr>
      <w:r>
        <w:t>Technical evaluation: 10 working days</w:t>
      </w:r>
    </w:p>
    <w:p>
      <w:pPr>
        <w:pStyle w:val="ListBullet"/>
      </w:pPr>
      <w:r>
        <w:t>Commercial opening: T+15 working days</w:t>
      </w:r>
    </w:p>
    <w:p>
      <w:pPr>
        <w:pStyle w:val="ListBullet"/>
      </w:pPr>
      <w:r>
        <w:t>Award recommendation to BoD: T+25 working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