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4E"/>
          <w:sz w:val="40"/>
        </w:rPr>
        <w:t>Borneo EPC Specialists — Capability Statement</w:t>
      </w:r>
    </w:p>
    <w:p>
      <w:r>
        <w:rPr>
          <w:i/>
          <w:color w:val="E76F2A"/>
          <w:sz w:val="22"/>
        </w:rPr>
        <w:t>Submitted to Contoso Mining Services · EPC Tender · Mahakam Coal Handling</w:t>
      </w:r>
    </w:p>
    <w:p/>
    <w:p>
      <w:r>
        <w:rPr>
          <w:b/>
          <w:color w:val="1F2D4E"/>
          <w:sz w:val="26"/>
        </w:rPr>
        <w:t>Company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Established</w:t>
            </w:r>
          </w:p>
        </w:tc>
        <w:tc>
          <w:tcPr>
            <w:tcW w:type="dxa" w:w="4320"/>
          </w:tcPr>
          <w:p>
            <w:r>
              <w:t>2004 (21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Headquarters</w:t>
            </w:r>
          </w:p>
        </w:tc>
        <w:tc>
          <w:tcPr>
            <w:tcW w:type="dxa" w:w="4320"/>
          </w:tcPr>
          <w:p>
            <w:r>
              <w:t>Balikpapan, East Kalimantan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revenue</w:t>
            </w:r>
          </w:p>
        </w:tc>
        <w:tc>
          <w:tcPr>
            <w:tcW w:type="dxa" w:w="4320"/>
          </w:tcPr>
          <w:p>
            <w:r>
              <w:t>USD 185 million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EBITDA margin</w:t>
            </w:r>
          </w:p>
        </w:tc>
        <w:tc>
          <w:tcPr>
            <w:tcW w:type="dxa" w:w="4320"/>
          </w:tcPr>
          <w:p>
            <w:r>
              <w:t>11.2%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In-house engineers</w:t>
            </w:r>
          </w:p>
        </w:tc>
        <w:tc>
          <w:tcPr>
            <w:tcW w:type="dxa" w:w="4320"/>
          </w:tcPr>
          <w:p>
            <w:r>
              <w:t>62 engineers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Disciplines</w:t>
            </w:r>
          </w:p>
        </w:tc>
        <w:tc>
          <w:tcPr>
            <w:tcW w:type="dxa" w:w="4320"/>
          </w:tcPr>
          <w:p>
            <w:r>
              <w:t>Mechanical, Civil/Structural, E&amp;I, Process, Commissioning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HSE — LTI rate (last 3 yrs)</w:t>
            </w:r>
          </w:p>
        </w:tc>
        <w:tc>
          <w:tcPr>
            <w:tcW w:type="dxa" w:w="4320"/>
          </w:tcPr>
          <w:p>
            <w:r>
              <w:t>0.21 per 200,000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Certifications</w:t>
            </w:r>
          </w:p>
        </w:tc>
        <w:tc>
          <w:tcPr>
            <w:tcW w:type="dxa" w:w="4320"/>
          </w:tcPr>
          <w:p>
            <w:r>
              <w:t>ISO 9001, ISO 14001, ISO 45001, SMK3</w:t>
            </w:r>
          </w:p>
        </w:tc>
      </w:tr>
    </w:tbl>
    <w:p>
      <w:r>
        <w:rPr>
          <w:b/>
          <w:color w:val="1F2D4E"/>
          <w:sz w:val="26"/>
        </w:rPr>
        <w:t>Reference Projects (last 5 years)</w:t>
      </w:r>
    </w:p>
    <w:p>
      <w:pPr>
        <w:pStyle w:val="ListBullet"/>
      </w:pPr>
      <w:r>
        <w:t>Berau Coal Handling Phase 2 — USD 54m EPC, 16 months, completed 2024 (on time, +1.8% cost)</w:t>
      </w:r>
    </w:p>
    <w:p>
      <w:pPr>
        <w:pStyle w:val="ListBullet"/>
      </w:pPr>
      <w:r>
        <w:t>Adaro Met-Coal Conveyor — USD 41m EPC, 14 months, completed 2023</w:t>
      </w:r>
    </w:p>
    <w:p>
      <w:pPr>
        <w:pStyle w:val="ListBullet"/>
      </w:pPr>
      <w:r>
        <w:t>KPC Stockyard Expansion — USD 47m EPC, 18 months, completed 2022</w:t>
      </w:r>
    </w:p>
    <w:p>
      <w:pPr>
        <w:pStyle w:val="ListBullet"/>
      </w:pPr>
      <w:r>
        <w:t>Mahakam barge loading upgrade — USD 22m EPC, 9 months, completed 2025</w:t>
      </w:r>
    </w:p>
    <w:p>
      <w:r>
        <w:rPr>
          <w:b/>
          <w:color w:val="1F2D4E"/>
          <w:sz w:val="26"/>
        </w:rPr>
        <w:t>Timeline Position vs KAK</w:t>
      </w:r>
    </w:p>
    <w:p>
      <w:r>
        <w:t>Confident on 18-month KAK delivery. Internal plan: 17 months with 1-month buffer. Mobilisation from existing Balikpapan yard — no demob cost.</w:t>
      </w:r>
    </w:p>
    <w:p>
      <w:r>
        <w:rPr>
          <w:b/>
          <w:color w:val="1F2D4E"/>
          <w:sz w:val="26"/>
        </w:rPr>
        <w:t>Commercial Position vs KAK Budget</w:t>
      </w:r>
    </w:p>
    <w:p>
      <w:r>
        <w:t>Within KAK budget. Indicative lump-sum USD 74.8m (4% below cap). Local fabrication in-country drives the saving.</w:t>
      </w:r>
    </w:p>
    <w:p>
      <w:r>
        <w:rPr>
          <w:b/>
          <w:color w:val="1F2D4E"/>
          <w:sz w:val="26"/>
        </w:rPr>
        <w:t>Why Award Us</w:t>
      </w:r>
    </w:p>
    <w:p>
      <w:pPr>
        <w:pStyle w:val="ListBullet"/>
      </w:pPr>
      <w:r>
        <w:t>Three relevant coal handling references ≥ USD 40m in last 5 years</w:t>
      </w:r>
    </w:p>
    <w:p>
      <w:pPr>
        <w:pStyle w:val="ListBullet"/>
      </w:pPr>
      <w:r>
        <w:t>78% local content — exceeds KAK minimum</w:t>
      </w:r>
    </w:p>
    <w:p>
      <w:pPr>
        <w:pStyle w:val="ListBullet"/>
      </w:pPr>
      <w:r>
        <w:t>Existing relationship with Mahakam port authority</w:t>
      </w:r>
    </w:p>
    <w:p>
      <w:pPr>
        <w:pStyle w:val="ListBullet"/>
      </w:pPr>
      <w:r>
        <w:t>Bench depth in commissioning — historically the riskiest phase</w:t>
      </w:r>
    </w:p>
    <w:p>
      <w:r>
        <w:rPr>
          <w:b/>
          <w:color w:val="1F2D4E"/>
          <w:sz w:val="26"/>
        </w:rPr>
        <w:t>Known Gaps / Watch-outs (declared)</w:t>
      </w:r>
    </w:p>
    <w:p>
      <w:pPr>
        <w:pStyle w:val="ListBullet"/>
      </w:pPr>
      <w:r>
        <w:t>Limited high-voltage substation experience — would subcontract switchgear to PT Schneider partner</w:t>
      </w:r>
    </w:p>
    <w:p>
      <w:pPr>
        <w:pStyle w:val="ListBullet"/>
      </w:pPr>
      <w:r>
        <w:t>No experience with low-carbon haul retrofit — out of scope for this tender but flagged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