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4E"/>
          <w:sz w:val="40"/>
        </w:rPr>
        <w:t>NusaWorks Industrial — Capability Statement</w:t>
      </w:r>
    </w:p>
    <w:p>
      <w:r>
        <w:rPr>
          <w:i/>
          <w:color w:val="E76F2A"/>
          <w:sz w:val="22"/>
        </w:rPr>
        <w:t>Submitted to Contoso Mining Services · EPC Tender · Mahakam Coal Handling</w:t>
      </w:r>
    </w:p>
    <w:p/>
    <w:p>
      <w:r>
        <w:rPr>
          <w:b/>
          <w:color w:val="1F2D4E"/>
          <w:sz w:val="26"/>
        </w:rPr>
        <w:t>Company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Established</w:t>
            </w:r>
          </w:p>
        </w:tc>
        <w:tc>
          <w:tcPr>
            <w:tcW w:type="dxa" w:w="4320"/>
          </w:tcPr>
          <w:p>
            <w:r>
              <w:t>2015 (10 years)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Headquarters</w:t>
            </w:r>
          </w:p>
        </w:tc>
        <w:tc>
          <w:tcPr>
            <w:tcW w:type="dxa" w:w="4320"/>
          </w:tcPr>
          <w:p>
            <w:r>
              <w:t>Surabaya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revenue</w:t>
            </w:r>
          </w:p>
        </w:tc>
        <w:tc>
          <w:tcPr>
            <w:tcW w:type="dxa" w:w="4320"/>
          </w:tcPr>
          <w:p>
            <w:r>
              <w:t>USD 95 million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FY25 EBITDA margin</w:t>
            </w:r>
          </w:p>
        </w:tc>
        <w:tc>
          <w:tcPr>
            <w:tcW w:type="dxa" w:w="4320"/>
          </w:tcPr>
          <w:p>
            <w:r>
              <w:t>8.4%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In-house engineers</w:t>
            </w:r>
          </w:p>
        </w:tc>
        <w:tc>
          <w:tcPr>
            <w:tcW w:type="dxa" w:w="4320"/>
          </w:tcPr>
          <w:p>
            <w:r>
              <w:t>34 engineers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Disciplines</w:t>
            </w:r>
          </w:p>
        </w:tc>
        <w:tc>
          <w:tcPr>
            <w:tcW w:type="dxa" w:w="4320"/>
          </w:tcPr>
          <w:p>
            <w:r>
              <w:t>Mechanical, Civil/Structural, E&amp;I (limited Process)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HSE — LTI rate (last 3 yrs)</w:t>
            </w:r>
          </w:p>
        </w:tc>
        <w:tc>
          <w:tcPr>
            <w:tcW w:type="dxa" w:w="4320"/>
          </w:tcPr>
          <w:p>
            <w:r>
              <w:t>0.45 per 200,000 hours (one LTI in 2024)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Certifications</w:t>
            </w:r>
          </w:p>
        </w:tc>
        <w:tc>
          <w:tcPr>
            <w:tcW w:type="dxa" w:w="4320"/>
          </w:tcPr>
          <w:p>
            <w:r>
              <w:t>ISO 9001, ISO 45001, SMK3</w:t>
            </w:r>
          </w:p>
        </w:tc>
      </w:tr>
    </w:tbl>
    <w:p>
      <w:r>
        <w:rPr>
          <w:b/>
          <w:color w:val="1F2D4E"/>
          <w:sz w:val="26"/>
        </w:rPr>
        <w:t>Reference Projects (last 5 years)</w:t>
      </w:r>
    </w:p>
    <w:p>
      <w:pPr>
        <w:pStyle w:val="ListBullet"/>
      </w:pPr>
      <w:r>
        <w:t>Semen Indonesia Cement Conveyor — USD 28m EPC, 12 months, completed 2024</w:t>
      </w:r>
    </w:p>
    <w:p>
      <w:pPr>
        <w:pStyle w:val="ListBullet"/>
      </w:pPr>
      <w:r>
        <w:t>Krakatau Posco Material Handling — USD 31m EPC, 14 months, completed 2023</w:t>
      </w:r>
    </w:p>
    <w:p>
      <w:pPr>
        <w:pStyle w:val="ListBullet"/>
      </w:pPr>
      <w:r>
        <w:t>Vale Nickel Stockyard (sub-EPC role) — USD 18m, 11 months, completed 2022</w:t>
      </w:r>
    </w:p>
    <w:p>
      <w:r>
        <w:rPr>
          <w:b/>
          <w:color w:val="1F2D4E"/>
          <w:sz w:val="26"/>
        </w:rPr>
        <w:t>Timeline Position vs KAK</w:t>
      </w:r>
    </w:p>
    <w:p>
      <w:r>
        <w:t>Aggressive on 18-month KAK. Internal plan 16 months. Limited experience at this contract size — schedule risk if scope grows.</w:t>
      </w:r>
    </w:p>
    <w:p>
      <w:r>
        <w:rPr>
          <w:b/>
          <w:color w:val="1F2D4E"/>
          <w:sz w:val="26"/>
        </w:rPr>
        <w:t>Commercial Position vs KAK Budget</w:t>
      </w:r>
    </w:p>
    <w:p>
      <w:r>
        <w:t>Below KAK budget. Indicative lump-sum USD 69m (12% below cap). Low overhead, lean bid.</w:t>
      </w:r>
    </w:p>
    <w:p>
      <w:r>
        <w:rPr>
          <w:b/>
          <w:color w:val="1F2D4E"/>
          <w:sz w:val="26"/>
        </w:rPr>
        <w:t>Why Award Us</w:t>
      </w:r>
    </w:p>
    <w:p>
      <w:pPr>
        <w:pStyle w:val="ListBullet"/>
      </w:pPr>
      <w:r>
        <w:t>Lowest commercial bid by a clear margin</w:t>
      </w:r>
    </w:p>
    <w:p>
      <w:pPr>
        <w:pStyle w:val="ListBullet"/>
      </w:pPr>
      <w:r>
        <w:t>Strong appetite — would treat this as a flagship reference</w:t>
      </w:r>
    </w:p>
    <w:p>
      <w:pPr>
        <w:pStyle w:val="ListBullet"/>
      </w:pPr>
      <w:r>
        <w:t>Quick decision cycle, owner-led</w:t>
      </w:r>
    </w:p>
    <w:p>
      <w:r>
        <w:rPr>
          <w:b/>
          <w:color w:val="1F2D4E"/>
          <w:sz w:val="26"/>
        </w:rPr>
        <w:t>Known Gaps / Watch-outs (declared)</w:t>
      </w:r>
    </w:p>
    <w:p>
      <w:pPr>
        <w:pStyle w:val="ListBullet"/>
      </w:pPr>
      <w:r>
        <w:t>No coal handling reference ≥ USD 40m — fails KAK minimum</w:t>
      </w:r>
    </w:p>
    <w:p>
      <w:pPr>
        <w:pStyle w:val="ListBullet"/>
      </w:pPr>
      <w:r>
        <w:t>Engineering bench (34) below KAK minimum of 40</w:t>
      </w:r>
    </w:p>
    <w:p>
      <w:pPr>
        <w:pStyle w:val="ListBullet"/>
      </w:pPr>
      <w:r>
        <w:t>LTI rate (0.45) above KAK ceiling of 0.30</w:t>
      </w:r>
    </w:p>
    <w:p>
      <w:pPr>
        <w:pStyle w:val="ListBullet"/>
      </w:pPr>
      <w:r>
        <w:t>Limited process engineering — would subcontract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