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4E"/>
          <w:sz w:val="40"/>
        </w:rPr>
        <w:t>PrimeBuild Indonesia — Capability Statement</w:t>
      </w:r>
    </w:p>
    <w:p>
      <w:r>
        <w:rPr>
          <w:i/>
          <w:color w:val="E76F2A"/>
          <w:sz w:val="22"/>
        </w:rPr>
        <w:t>Submitted to Contoso Mining Services · EPC Tender · Mahakam Coal Handling</w:t>
      </w:r>
    </w:p>
    <w:p/>
    <w:p>
      <w:r>
        <w:rPr>
          <w:b/>
          <w:color w:val="1F2D4E"/>
          <w:sz w:val="26"/>
        </w:rPr>
        <w:t>Company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Established</w:t>
            </w:r>
          </w:p>
        </w:tc>
        <w:tc>
          <w:tcPr>
            <w:tcW w:type="dxa" w:w="4320"/>
          </w:tcPr>
          <w:p>
            <w:r>
              <w:t>2001 (24 years)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Headquarters</w:t>
            </w:r>
          </w:p>
        </w:tc>
        <w:tc>
          <w:tcPr>
            <w:tcW w:type="dxa" w:w="4320"/>
          </w:tcPr>
          <w:p>
            <w:r>
              <w:t>Jakarta + Samarinda yard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FY25 revenue</w:t>
            </w:r>
          </w:p>
        </w:tc>
        <w:tc>
          <w:tcPr>
            <w:tcW w:type="dxa" w:w="4320"/>
          </w:tcPr>
          <w:p>
            <w:r>
              <w:t>USD 245 million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FY25 EBITDA margin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In-house engineers</w:t>
            </w:r>
          </w:p>
        </w:tc>
        <w:tc>
          <w:tcPr>
            <w:tcW w:type="dxa" w:w="4320"/>
          </w:tcPr>
          <w:p>
            <w:r>
              <w:t>88 engineers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Disciplines</w:t>
            </w:r>
          </w:p>
        </w:tc>
        <w:tc>
          <w:tcPr>
            <w:tcW w:type="dxa" w:w="4320"/>
          </w:tcPr>
          <w:p>
            <w:r>
              <w:t>Mechanical, Civil/Structural, E&amp;I, Process, Commissioning, Automation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HSE — LTI rate (last 3 yrs)</w:t>
            </w:r>
          </w:p>
        </w:tc>
        <w:tc>
          <w:tcPr>
            <w:tcW w:type="dxa" w:w="4320"/>
          </w:tcPr>
          <w:p>
            <w:r>
              <w:t>0.19 per 200,000 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Certifications</w:t>
            </w:r>
          </w:p>
        </w:tc>
        <w:tc>
          <w:tcPr>
            <w:tcW w:type="dxa" w:w="4320"/>
          </w:tcPr>
          <w:p>
            <w:r>
              <w:t>ISO 9001, ISO 14001, ISO 45001, SMK3, ISO 27001</w:t>
            </w:r>
          </w:p>
        </w:tc>
      </w:tr>
    </w:tbl>
    <w:p>
      <w:r>
        <w:rPr>
          <w:b/>
          <w:color w:val="1F2D4E"/>
          <w:sz w:val="26"/>
        </w:rPr>
        <w:t>Reference Projects (last 5 years)</w:t>
      </w:r>
    </w:p>
    <w:p>
      <w:pPr>
        <w:pStyle w:val="ListBullet"/>
      </w:pPr>
      <w:r>
        <w:t>Adaro Coal Handling Upgrade — USD 62m EPC, 18 months, completed 2024 (on time, on budget)</w:t>
      </w:r>
    </w:p>
    <w:p>
      <w:pPr>
        <w:pStyle w:val="ListBullet"/>
      </w:pPr>
      <w:r>
        <w:t>BUMA Stockyard &amp; Loadout — USD 49m EPC, 17 months, completed 2023</w:t>
      </w:r>
    </w:p>
    <w:p>
      <w:pPr>
        <w:pStyle w:val="ListBullet"/>
      </w:pPr>
      <w:r>
        <w:t>Indika Coal Train Receiving — USD 44m EPC, 16 months, completed 2022</w:t>
      </w:r>
    </w:p>
    <w:p>
      <w:pPr>
        <w:pStyle w:val="ListBullet"/>
      </w:pPr>
      <w:r>
        <w:t>Petrosea-led brownfield expansion (sub-EPC) — USD 38m, 14 months, completed 2024</w:t>
      </w:r>
    </w:p>
    <w:p>
      <w:r>
        <w:rPr>
          <w:b/>
          <w:color w:val="1F2D4E"/>
          <w:sz w:val="26"/>
        </w:rPr>
        <w:t>Timeline Position vs KAK</w:t>
      </w:r>
    </w:p>
    <w:p>
      <w:r>
        <w:t>On 18-month KAK comfortably. Internal plan 17.5 months. Three recent coal handling deliveries on time, on budget.</w:t>
      </w:r>
    </w:p>
    <w:p>
      <w:r>
        <w:rPr>
          <w:b/>
          <w:color w:val="1F2D4E"/>
          <w:sz w:val="26"/>
        </w:rPr>
        <w:t>Commercial Position vs KAK Budget</w:t>
      </w:r>
    </w:p>
    <w:p>
      <w:r>
        <w:t>Within KAK budget. Indicative lump-sum USD 76.5m (2% below cap). Margin reflects automation premium.</w:t>
      </w:r>
    </w:p>
    <w:p>
      <w:r>
        <w:rPr>
          <w:b/>
          <w:color w:val="1F2D4E"/>
          <w:sz w:val="26"/>
        </w:rPr>
        <w:t>Why Award Us</w:t>
      </w:r>
    </w:p>
    <w:p>
      <w:pPr>
        <w:pStyle w:val="ListBullet"/>
      </w:pPr>
      <w:r>
        <w:t>Most directly comparable references — all three are coal handling EPC at this size</w:t>
      </w:r>
    </w:p>
    <w:p>
      <w:pPr>
        <w:pStyle w:val="ListBullet"/>
      </w:pPr>
      <w:r>
        <w:t>Strongest automation/digital twin bench — relevant for ESG reporting</w:t>
      </w:r>
    </w:p>
    <w:p>
      <w:pPr>
        <w:pStyle w:val="ListBullet"/>
      </w:pPr>
      <w:r>
        <w:t>Samarinda yard cuts mobilisation time vs Jakarta-only competitors</w:t>
      </w:r>
    </w:p>
    <w:p>
      <w:pPr>
        <w:pStyle w:val="ListBullet"/>
      </w:pPr>
      <w:r>
        <w:t>On-time, on-budget delivery on the last three lump-sum jobs</w:t>
      </w:r>
    </w:p>
    <w:p>
      <w:r>
        <w:rPr>
          <w:b/>
          <w:color w:val="1F2D4E"/>
          <w:sz w:val="26"/>
        </w:rPr>
        <w:t>Known Gaps / Watch-outs (declared)</w:t>
      </w:r>
    </w:p>
    <w:p>
      <w:pPr>
        <w:pStyle w:val="ListBullet"/>
      </w:pPr>
      <w:r>
        <w:t>Smaller engineering bench than Trans-Asia — less surge capacity</w:t>
      </w:r>
    </w:p>
    <w:p>
      <w:pPr>
        <w:pStyle w:val="ListBullet"/>
      </w:pPr>
      <w:r>
        <w:t>Premium pricing on change orders — disciplined contract management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