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4E"/>
          <w:sz w:val="40"/>
        </w:rPr>
        <w:t>Trans-Asia Engineers — Capability Statement</w:t>
      </w:r>
    </w:p>
    <w:p>
      <w:r>
        <w:rPr>
          <w:i/>
          <w:color w:val="E76F2A"/>
          <w:sz w:val="22"/>
        </w:rPr>
        <w:t>Submitted to Contoso Mining Services · EPC Tender · Mahakam Coal Handling</w:t>
      </w:r>
    </w:p>
    <w:p/>
    <w:p>
      <w:r>
        <w:rPr>
          <w:b/>
          <w:color w:val="1F2D4E"/>
          <w:sz w:val="26"/>
        </w:rPr>
        <w:t>Company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Established</w:t>
            </w:r>
          </w:p>
        </w:tc>
        <w:tc>
          <w:tcPr>
            <w:tcW w:type="dxa" w:w="4320"/>
          </w:tcPr>
          <w:p>
            <w:r>
              <w:t>1996 (29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320"/>
          </w:tcPr>
          <w:p>
            <w:r>
              <w:t>Jakarta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revenue</w:t>
            </w:r>
          </w:p>
        </w:tc>
        <w:tc>
          <w:tcPr>
            <w:tcW w:type="dxa" w:w="4320"/>
          </w:tcPr>
          <w:p>
            <w:r>
              <w:t>USD 410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EBITDA margin</w:t>
            </w:r>
          </w:p>
        </w:tc>
        <w:tc>
          <w:tcPr>
            <w:tcW w:type="dxa" w:w="4320"/>
          </w:tcPr>
          <w:p>
            <w:r>
              <w:t>13.8%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In-house engineers</w:t>
            </w:r>
          </w:p>
        </w:tc>
        <w:tc>
          <w:tcPr>
            <w:tcW w:type="dxa" w:w="4320"/>
          </w:tcPr>
          <w:p>
            <w:r>
              <w:t>148 engineers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Disciplines</w:t>
            </w:r>
          </w:p>
        </w:tc>
        <w:tc>
          <w:tcPr>
            <w:tcW w:type="dxa" w:w="4320"/>
          </w:tcPr>
          <w:p>
            <w:r>
              <w:t>Mechanical, Civil/Structural, E&amp;I, Process, Pipeline, Marine, Commissioning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HSE — LTI rate (last 3 yrs)</w:t>
            </w:r>
          </w:p>
        </w:tc>
        <w:tc>
          <w:tcPr>
            <w:tcW w:type="dxa" w:w="4320"/>
          </w:tcPr>
          <w:p>
            <w:r>
              <w:t>0.18 per 200,000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4320"/>
          </w:tcPr>
          <w:p>
            <w:r>
              <w:t>ISO 9001, ISO 14001, ISO 45001, SMK3, API Q1</w:t>
            </w:r>
          </w:p>
        </w:tc>
      </w:tr>
    </w:tbl>
    <w:p>
      <w:r>
        <w:rPr>
          <w:b/>
          <w:color w:val="1F2D4E"/>
          <w:sz w:val="26"/>
        </w:rPr>
        <w:t>Reference Projects (last 5 years)</w:t>
      </w:r>
    </w:p>
    <w:p>
      <w:pPr>
        <w:pStyle w:val="ListBullet"/>
      </w:pPr>
      <w:r>
        <w:t>Bukit Asam Coal Train Loadout — USD 92m EPC, 22 months, completed 2024 (4 months late, +9% cost)</w:t>
      </w:r>
    </w:p>
    <w:p>
      <w:pPr>
        <w:pStyle w:val="ListBullet"/>
      </w:pPr>
      <w:r>
        <w:t>Pertamina Refinery Utilities — USD 130m EPC, 28 months, completed 2023</w:t>
      </w:r>
    </w:p>
    <w:p>
      <w:pPr>
        <w:pStyle w:val="ListBullet"/>
      </w:pPr>
      <w:r>
        <w:t>Freeport Concentrate Pipeline — USD 88m EPC, 20 months, completed 2022</w:t>
      </w:r>
    </w:p>
    <w:p>
      <w:pPr>
        <w:pStyle w:val="ListBullet"/>
      </w:pPr>
      <w:r>
        <w:t>MIND ID port handling upgrade — USD 65m EPC, 21 months, completed 2024</w:t>
      </w:r>
    </w:p>
    <w:p>
      <w:r>
        <w:rPr>
          <w:b/>
          <w:color w:val="1F2D4E"/>
          <w:sz w:val="26"/>
        </w:rPr>
        <w:t>Timeline Position vs KAK</w:t>
      </w:r>
    </w:p>
    <w:p>
      <w:r>
        <w:t>Tight on 18-month KAK. Internal estimate 20 months — would request 2-month extension at award. Past projects consistently 3-4 months late.</w:t>
      </w:r>
    </w:p>
    <w:p>
      <w:r>
        <w:rPr>
          <w:b/>
          <w:color w:val="1F2D4E"/>
          <w:sz w:val="26"/>
        </w:rPr>
        <w:t>Commercial Position vs KAK Budget</w:t>
      </w:r>
    </w:p>
    <w:p>
      <w:r>
        <w:t>Above KAK budget. Indicative lump-sum USD 84m (8% above cap). Premium reflects engineering depth and risk buffer.</w:t>
      </w:r>
    </w:p>
    <w:p>
      <w:r>
        <w:rPr>
          <w:b/>
          <w:color w:val="1F2D4E"/>
          <w:sz w:val="26"/>
        </w:rPr>
        <w:t>Why Award Us</w:t>
      </w:r>
    </w:p>
    <w:p>
      <w:pPr>
        <w:pStyle w:val="ListBullet"/>
      </w:pPr>
      <w:r>
        <w:t>Deepest engineering bench among the four bidders</w:t>
      </w:r>
    </w:p>
    <w:p>
      <w:pPr>
        <w:pStyle w:val="ListBullet"/>
      </w:pPr>
      <w:r>
        <w:t>Strongest pipeline and marine capability — relevant if scope grows</w:t>
      </w:r>
    </w:p>
    <w:p>
      <w:pPr>
        <w:pStyle w:val="ListBullet"/>
      </w:pPr>
      <w:r>
        <w:t>Highest financial standing — no liquidity risk</w:t>
      </w:r>
    </w:p>
    <w:p>
      <w:pPr>
        <w:pStyle w:val="ListBullet"/>
      </w:pPr>
      <w:r>
        <w:t>Full digital twin handover offered as standard</w:t>
      </w:r>
    </w:p>
    <w:p>
      <w:r>
        <w:rPr>
          <w:b/>
          <w:color w:val="1F2D4E"/>
          <w:sz w:val="26"/>
        </w:rPr>
        <w:t>Known Gaps / Watch-outs (declared)</w:t>
      </w:r>
    </w:p>
    <w:p>
      <w:pPr>
        <w:pStyle w:val="ListBullet"/>
      </w:pPr>
      <w:r>
        <w:t>Track record of schedule slippage on lump-sum work</w:t>
      </w:r>
    </w:p>
    <w:p>
      <w:pPr>
        <w:pStyle w:val="ListBullet"/>
      </w:pPr>
      <w:r>
        <w:t>Commercial position above KAK cap — requires waiver</w:t>
      </w:r>
    </w:p>
    <w:p>
      <w:pPr>
        <w:pStyle w:val="ListBullet"/>
      </w:pPr>
      <w:r>
        <w:t>Heavy Jakarta footprint — slower site response than local bidders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