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CFO Pre-Board Call - Recap</w:t>
      </w:r>
    </w:p>
    <w:p>
      <w:r>
        <w:t>Meeting reference: CFO-PREBOARD-2026-06</w:t>
      </w:r>
    </w:p>
    <w:p>
      <w:r>
        <w:t>Date: 09 June 2026  |  Time: 09:00 - 09:50  |  Platform: Microsoft Teams (recorded)</w:t>
      </w:r>
    </w:p>
    <w:p>
      <w:r>
        <w:t>Attendees: Lim Wei Han (Group CFO, Chair), Tan Mei Ling (Head of Group Reporting), Faridah Yusof (Head of Treasury), Daniel Tan (Head of Group Strategy), Rachel Khoo (IR Lead), Lai Yong (Group Tax)</w:t>
      </w:r>
    </w:p>
    <w:p/>
    <w:p>
      <w:r>
        <w:t>Purpose: Pre-Board review of FY25 financial performance, FY26 outlook, the proposed renewables JV financing plan, and Board questions anticipated for the 11 June Board meeting.</w:t>
      </w:r>
    </w:p>
    <w:p/>
    <w:p>
      <w:r>
        <w:rPr>
          <w:b/>
        </w:rPr>
        <w:t>--- KEY POINTS DISCUSSED ---</w:t>
      </w:r>
    </w:p>
    <w:p/>
    <w:p>
      <w:r>
        <w:t>Lim Wei Han (CFO): Group revenue lands at RM 8.42 billion for FY25, broadly in line with guidance. EBITDA margin has compressed 140 basis points year-on-year to 26.8%, driven mainly by coal price volatility and the unplanned outage at TBE-1 in Q2. Net Debt / EBITDA closes the year at 3.4x, up from 3.1x. We are inside covenant but the trajectory matters for the Board narrative.</w:t>
      </w:r>
    </w:p>
    <w:p/>
    <w:p>
      <w:r>
        <w:t>Tan Mei Ling: Confirmed that the FY25 audit close is complete. No material adjustments from the auditors. The renewables capacity share, post completion of the LSS5 project, lifts to 18% from 14%. That is the one number the Board will want highlighted.</w:t>
      </w:r>
    </w:p>
    <w:p/>
    <w:p>
      <w:r>
        <w:t>Faridah Yusof (Treasury): On the proposed renewables JV - RM 1.8 billion total investment, 60:40 debt to equity. We have a non-binding term sheet from a syndicate of three local banks at SOFR + 215 bps, 12-year tenor, partial sustainability-linked margin step-down. Indicative project IRR is 8.0% versus current Group WACC of 7.1%. Tight but accretive.</w:t>
      </w:r>
    </w:p>
    <w:p/>
    <w:p>
      <w:r>
        <w:t>Daniel Tan (Strategy): The strategic posture point - peers are pricing in 22 to 25% renewables share by 2027. We are at 14% today, 18% post-LSS5. Without the JV we lag. The Board needs to see a credible path to 25% by FY28.</w:t>
      </w:r>
    </w:p>
    <w:p/>
    <w:p>
      <w:r>
        <w:t>Rachel Khoo (IR): Investors will ask three things - (1) net debt trajectory through the JV build period, (2) capex intensity peak year, (3) dividend coverage under the new capital plan. We need to anchor the messaging on these.</w:t>
      </w:r>
    </w:p>
    <w:p/>
    <w:p>
      <w:r>
        <w:t>Lai Yong: Tax-wise the JV is structured to qualify for the Green Investment Tax Allowance. Potential RM 65 million in tax savings over years 1-5 if approved.</w:t>
      </w:r>
    </w:p>
    <w:p/>
    <w:p>
      <w:r>
        <w:rPr>
          <w:b/>
        </w:rPr>
        <w:t>--- DECISIONS TAKEN ---</w:t>
      </w:r>
    </w:p>
    <w:p/>
    <w:p>
      <w:r>
        <w:t>1. CFO will lead Board discussion on the JV financing plan; Treasury to provide a 1-page debt sensitivity at SOFR +200, +215, +250 bps.</w:t>
      </w:r>
    </w:p>
    <w:p>
      <w:r>
        <w:t>2. Reporting team to add a "Renewables share trajectory" chart to the FY25 Board pack - current, post-LSS5, post-JV, FY28 target.</w:t>
      </w:r>
    </w:p>
    <w:p>
      <w:r>
        <w:t>3. IR to draft 3 anticipated analyst questions with model answers for circulation before the Board.</w:t>
      </w:r>
    </w:p>
    <w:p/>
    <w:p>
      <w:r>
        <w:rPr>
          <w:b/>
        </w:rPr>
        <w:t>--- OPEN QUESTIONS FOR THE BOARD ---</w:t>
      </w:r>
    </w:p>
    <w:p/>
    <w:p>
      <w:r>
        <w:t>1. Are we comfortable with Net Debt / EBITDA tracking up to ~3.8x at peak JV build before deleveraging?</w:t>
      </w:r>
    </w:p>
    <w:p>
      <w:r>
        <w:t>2. Should we accelerate a second LSS6 bid in parallel, or focus execution capacity on the JV?</w:t>
      </w:r>
    </w:p>
    <w:p>
      <w:r>
        <w:t>3. What is the Board's appetite for a discounted-rights-issue option if conditions deteriorate?</w:t>
      </w:r>
    </w:p>
    <w:p>
      <w:r>
        <w:t>4. How should the dividend policy flex during the FY26-FY28 build phase?</w:t>
      </w:r>
    </w:p>
    <w:p/>
    <w:p>
      <w:r>
        <w:rPr>
          <w:b/>
        </w:rPr>
        <w:t>--- ACTION ITEMS ---</w:t>
      </w:r>
    </w:p>
    <w:p/>
    <w:p>
      <w:r>
        <w:t>A1. Treasury - 1-page debt sensitivity table - Due 10 June 12:00</w:t>
      </w:r>
    </w:p>
    <w:p>
      <w:r>
        <w:t>A2. Group Reporting - updated renewables-share trajectory chart for Board pack - Due 10 June 14:00</w:t>
      </w:r>
    </w:p>
    <w:p>
      <w:r>
        <w:t>A3. IR - 3 anticipated analyst Q&amp;A - Due 10 June 16:00</w:t>
      </w:r>
    </w:p>
    <w:p>
      <w:r>
        <w:t>A4. CFO - refine speaking notes for the JV financing slide - Due 10 June EOD</w:t>
      </w:r>
    </w:p>
    <w:p>
      <w:r>
        <w:t>A5. Strategy - refresh peer renewables-share table with latest disclosures - Due 10 June 12:00</w:t>
      </w:r>
    </w:p>
    <w:p/>
    <w:p>
      <w:r>
        <w:rPr>
          <w:b/>
        </w:rPr>
        <w:t>--- CLOSE ---</w:t>
      </w:r>
    </w:p>
    <w:p/>
    <w:p>
      <w:r>
        <w:t>Lim Wei Han: Thanks team. Reconvene 10 June 17:00 for a 30-minute walk-through of the final pack. Board meets 11 June 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