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ASEAN Power &amp; Energy Transition — Strategy Briefing</w:t>
      </w:r>
    </w:p>
    <w:p>
      <w:r>
        <w:t>Prepared for: Contoso Power Group Strategy &amp; Business Development</w:t>
        <w:br/>
        <w:t>Reference period: FY2024 actuals, FY2025-2030 outlook</w:t>
        <w:br/>
        <w:t>Classification: Internal · Sample data for Copilot immersion</w:t>
      </w:r>
    </w:p>
    <w:p>
      <w:pPr>
        <w:pStyle w:val="Heading1"/>
      </w:pPr>
      <w:r>
        <w:t>1. ASEAN power demand outlook</w:t>
      </w:r>
    </w:p>
    <w:p>
      <w:r>
        <w:t>Peninsular Malaysia electricity demand is forecast to grow at 2.5–3.1% CAGR through 2030 under the Energy Commission base case, driven by data centre load (+1.8 GW by 2028), EV adoption, and industrial expansion in Johor and Selangor. Reserve margin tightens from 32% (2024) to an estimated 18% by 2029 absent new capacity.</w:t>
      </w:r>
    </w:p>
    <w:p>
      <w:pPr>
        <w:pStyle w:val="Heading1"/>
      </w:pPr>
      <w:r>
        <w:t>2. National Energy Transition Roadmap (NETR) implications</w:t>
      </w:r>
    </w:p>
    <w:p>
      <w:r>
        <w:t>NETR targets 70% installed RE capacity by 2050 (from ~26% today). Near-term levers: large-scale solar (LSS5 — 2 GW awarded 2024), CRESS (Corporate Renewable Energy Supply Scheme) for C&amp;I offtake, and battery storage tenders. Coal moratorium remains; existing coal PPAs expected to run to contract end but no extensions.</w:t>
      </w:r>
    </w:p>
    <w:p>
      <w:pPr>
        <w:pStyle w:val="Heading1"/>
      </w:pPr>
      <w:r>
        <w:t>3. Peer moves</w:t>
      </w:r>
    </w:p>
    <w:p>
      <w:r>
        <w:t>- TNB: RM 90B capex plan to 2030, grid + RE focus.</w:t>
        <w:br/>
        <w:t>- YTL Power: Kulai data centre campus, 500 MW capacity ramp.</w:t>
        <w:br/>
        <w:t>- Sembcorp: divesting coal globally, 25 GW gross RE target by 2028.</w:t>
        <w:br/>
        <w:t>- Petronas Gas: LNG-to-power JV pipeline in Sabah.</w:t>
      </w:r>
    </w:p>
    <w:p>
      <w:pPr>
        <w:pStyle w:val="Heading1"/>
      </w:pPr>
      <w:r>
        <w:t>4. Implications for Contoso Power</w:t>
      </w:r>
    </w:p>
    <w:p>
      <w:r>
        <w:t>Three strategic questions for the Board: (a) accelerate renewables capex from RM 1.6B/yr to RM 2.4B/yr to defend market share; (b) extend gas portfolio life via repowering vs early retirement; (c) enter the data centre captive power segment via a co-located gas + solar + BESS proposition.</w:t>
      </w:r>
    </w:p>
    <w:p>
      <w:pPr>
        <w:pStyle w:val="Heading1"/>
      </w:pPr>
      <w:r>
        <w:t>5. Risks</w:t>
      </w:r>
    </w:p>
    <w:p>
      <w:r>
        <w:t>- Fuel price volatility (coal API4, LNG JKM)</w:t>
        <w:br/>
        <w:t>- PPA expiry cliff in 2027-2029 (1,940 MW exposed)</w:t>
        <w:br/>
        <w:t>- Carbon pricing / EU CBAM downstream effects on industrial offtakers</w:t>
        <w:br/>
        <w:t>- Talent — engineering and renewables development capability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