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Power — Brand &amp; Communications Guidelines</w:t>
      </w:r>
    </w:p>
    <w:p>
      <w:r>
        <w:t>Version 4.2  |  Owner: Group Corporate Communications  |  Classification: Internal</w:t>
      </w:r>
    </w:p>
    <w:p>
      <w:pPr>
        <w:pStyle w:val="Heading1"/>
      </w:pPr>
      <w:r>
        <w:t>Brand voice</w:t>
      </w:r>
    </w:p>
    <w:p>
      <w:r>
        <w:t>Confident · Responsible · Forward-looking. We speak as a national infrastructure operator with regional ambition. We never claim what we have not delivered.</w:t>
      </w:r>
    </w:p>
    <w:p>
      <w:pPr>
        <w:pStyle w:val="Heading1"/>
      </w:pPr>
      <w:r>
        <w:t>Approved positioning lines</w:t>
      </w:r>
    </w:p>
    <w:p>
      <w:r>
        <w:t>- "Powering the nation. Building what's next."</w:t>
        <w:br/>
        <w:t>- "From baseload to balanced — responsibly transitioning Malaysia's energy mix."</w:t>
        <w:br/>
        <w:t>- "Reliable today. Renewable tomorrow."</w:t>
      </w:r>
    </w:p>
    <w:p>
      <w:pPr>
        <w:pStyle w:val="Heading1"/>
      </w:pPr>
      <w:r>
        <w:t>Visual identity</w:t>
      </w:r>
    </w:p>
    <w:p>
      <w:r>
        <w:t>Primary palette: Deep Teal #0E7490, Slate Navy #1E3A5F, Signal Amber #D97706.</w:t>
        <w:br/>
        <w:t>Secondary: Clean White #FFFFFF, Graphite #1A202C. Avoid pure black for body text.</w:t>
        <w:br/>
        <w:t>Typography: Inter (digital), Source Serif (print headlines). Minimum body 11pt.</w:t>
      </w:r>
    </w:p>
    <w:p>
      <w:pPr>
        <w:pStyle w:val="Heading1"/>
      </w:pPr>
      <w:r>
        <w:t>Press release structure</w:t>
      </w:r>
    </w:p>
    <w:p>
      <w:r>
        <w:t>1. Headline — factual, no superlatives.</w:t>
        <w:br/>
        <w:t>2. Subhead — one sentence, the so-what.</w:t>
        <w:br/>
        <w:t>3. Dateline + lede — who, what, where, when, why in 40 words.</w:t>
        <w:br/>
        <w:t>4. Body — quantified facts; one approved quote from CEO or relevant senior leader.</w:t>
        <w:br/>
        <w:t>5. About Contoso Power boilerplate (do not edit).</w:t>
        <w:br/>
        <w:t>6. Media contact block.</w:t>
      </w:r>
    </w:p>
    <w:p>
      <w:pPr>
        <w:pStyle w:val="Heading1"/>
      </w:pPr>
      <w:r>
        <w:t>Boilerplate</w:t>
      </w:r>
    </w:p>
    <w:p>
      <w:r>
        <w:t>Contoso Power Berhad is one of Malaysia's leading independent power producers, with an installed capacity of 5,440 MW across thermal and renewable assets domestically and selected international markets. Listed on Bursa Malaysia, the Group operates power generation, water and environmental services businesses with a focus on responsibly transitioning the nation's energy mix.</w:t>
      </w:r>
    </w:p>
    <w:p>
      <w:pPr>
        <w:pStyle w:val="Heading1"/>
      </w:pPr>
      <w:r>
        <w:t>Approval workflow</w:t>
      </w:r>
    </w:p>
    <w:p>
      <w:r>
        <w:t>All external materials referencing financial performance, M&amp;A, regulatory matters or board decisions require sign-off from Head of Corporate Communications AND the relevant functional head (CFO for financial, Legal for regulatory). Use the Comms Request Form on the intranet.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