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Township Sales Velocity &amp; Inventory — Q3 Strategy Review</w:t>
      </w:r>
    </w:p>
    <w:p>
      <w:r>
        <w:t>Contoso Property Group · Strategic Memo · Internal · 18 June 2026</w:t>
      </w:r>
    </w:p>
    <w:p/>
    <w:p>
      <w:pPr>
        <w:pStyle w:val="Heading1"/>
      </w:pPr>
      <w:r>
        <w:t>Executive Summary</w:t>
      </w:r>
    </w:p>
    <w:p>
      <w:r>
        <w:t>Group sales take-up is tracking 68% in 90 days versus a 75% plan, with the drag concentrated at Iskandar Phase 3 and the City Centre KL high-rise tower. Construction progress is 92% vs schedule across active townships, and customer NPS sits at 48 (target 55). Unsold inventory has crept to 14% of GDV. We recommend a targeted price-realignment and bumiputera-release acceleration at the two weak townships, a vacant-possession (VP) sprint at Hilltop Block C, and a land-bank monetisation case for the underutilised parcel in Greater Klang Valley.</w:t>
      </w:r>
    </w:p>
    <w:p>
      <w:pPr>
        <w:pStyle w:val="Heading1"/>
      </w:pPr>
      <w:r>
        <w:t>Where we are</w:t>
      </w:r>
    </w:p>
    <w:p>
      <w:pPr>
        <w:pStyle w:val="ListBullet"/>
      </w:pPr>
      <w:r>
        <w:t>Sales Take-up Rate % — current YTD vs plan; full breakdown in 02 Contoso_KPI_Dashboard.xlsx.</w:t>
      </w:r>
    </w:p>
    <w:p>
      <w:pPr>
        <w:pStyle w:val="ListBullet"/>
      </w:pPr>
      <w:r>
        <w:t>GDV Launched (RM M) — current YTD vs plan; full breakdown in 02 Contoso_KPI_Dashboard.xlsx.</w:t>
      </w:r>
    </w:p>
    <w:p>
      <w:pPr>
        <w:pStyle w:val="ListBullet"/>
      </w:pPr>
      <w:r>
        <w:t>Unsold Inventory % — current YTD vs plan; full breakdown in 02 Contoso_KPI_Dashboard.xlsx.</w:t>
      </w:r>
    </w:p>
    <w:p>
      <w:pPr>
        <w:pStyle w:val="Heading1"/>
      </w:pPr>
      <w:r>
        <w:t>Three Strategic Priorities (FY26 H2)</w:t>
      </w:r>
    </w:p>
    <w:p>
      <w:pPr>
        <w:pStyle w:val="ListNumber"/>
      </w:pPr>
      <w:r>
        <w:t>Price-realignment and accelerated bumiputera-quota release at Iskandar Phase 3 and City Centre KL.</w:t>
      </w:r>
    </w:p>
    <w:p>
      <w:pPr>
        <w:pStyle w:val="ListNumber"/>
      </w:pPr>
      <w:r>
        <w:t>Vacant-possession (VP) sprint at Hilltop Block C — close the 8-week schedule gap by Q4.</w:t>
      </w:r>
    </w:p>
    <w:p>
      <w:pPr>
        <w:pStyle w:val="ListNumber"/>
      </w:pPr>
      <w:r>
        <w:t>Land-bank monetisation case for the underutilised Greater Klang Valley parcel (JV vs in-house build).</w:t>
      </w:r>
    </w:p>
    <w:p>
      <w:pPr>
        <w:pStyle w:val="Heading1"/>
      </w:pPr>
      <w:r>
        <w:t>Recommended Decision</w:t>
      </w:r>
    </w:p>
    <w:p>
      <w:r>
        <w:t>The Operations Committee is asked to (i) approve the FY26 H2 priorities, (ii) endorse the capex envelope outlined in the appendix, and (iii) authorise the GM to commission a 90-day delivery plan.</w:t>
      </w:r>
    </w:p>
    <w:p>
      <w:pPr>
        <w:pStyle w:val="Heading1"/>
      </w:pPr>
      <w:r>
        <w:t>Risks &amp; Open Questions</w:t>
      </w:r>
    </w:p>
    <w:p>
      <w:pPr>
        <w:pStyle w:val="ListBullet"/>
      </w:pPr>
      <w:r>
        <w:t>Funding envelope confirmation — pending CFO.</w:t>
      </w:r>
    </w:p>
    <w:p>
      <w:pPr>
        <w:pStyle w:val="ListBullet"/>
      </w:pPr>
      <w:r>
        <w:t>Regulatory timeline (where applicable).</w:t>
      </w:r>
    </w:p>
    <w:p>
      <w:pPr>
        <w:pStyle w:val="ListBullet"/>
      </w:pPr>
      <w:r>
        <w:t>Talent availability for accelerated rollout — see HR shortlist.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