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Khairul Ahmad</w:t>
      </w:r>
    </w:p>
    <w:p>
      <w:r>
        <w:t>Township General Manager (integrated developments)  ·  18 years experience  ·  Based: Contoso</w:t>
      </w:r>
    </w:p>
    <w:p>
      <w:r>
        <w:t>Email: khairul.ahmad@email.com  ·  Mobile: +60-12-199-2642</w:t>
      </w:r>
    </w:p>
    <w:p>
      <w:pPr>
        <w:pStyle w:val="Heading1"/>
      </w:pPr>
      <w:r>
        <w:t>Professional Summary</w:t>
      </w:r>
    </w:p>
    <w:p>
      <w:r>
        <w:t>18-year property development leader with end-to-end township delivery across the Klang Valley and Iskandar Malaysia. Strong on sales-gallery operations, REHDA / KPKT compliance, vacant-possession (VP) milestones and developer-IRR optimisation.</w:t>
      </w:r>
    </w:p>
    <w:p>
      <w:pPr>
        <w:pStyle w:val="Heading1"/>
      </w:pPr>
      <w:r>
        <w:t>Experience</w:t>
      </w:r>
    </w:p>
    <w:p>
      <w:r>
        <w:rPr>
          <w:b/>
        </w:rPr>
        <w:t>UEM Sunrise</w:t>
      </w:r>
      <w:r>
        <w:t xml:space="preserve">   ·   Township General Manager (integrated developments)   ·   2022 – Present</w:t>
      </w:r>
    </w:p>
    <w:p>
      <w:pPr>
        <w:pStyle w:val="ListBullet"/>
      </w:pPr>
      <w:r>
        <w:t>Construction-progress oversight — led initiative across the region.</w:t>
      </w:r>
    </w:p>
    <w:p>
      <w:pPr>
        <w:pStyle w:val="ListBullet"/>
      </w:pPr>
      <w:r>
        <w:t>Greenre / gbi certified developments — led initiative across the region.</w:t>
      </w:r>
    </w:p>
    <w:p>
      <w:pPr>
        <w:pStyle w:val="ListBullet"/>
      </w:pPr>
      <w:r>
        <w:t>Bim / digital construction — led initiative across the region.</w:t>
      </w:r>
    </w:p>
    <w:p>
      <w:r>
        <w:rPr>
          <w:b/>
        </w:rPr>
        <w:t>Sime Darby Property</w:t>
      </w:r>
      <w:r>
        <w:t xml:space="preserve">   ·   Senior Township General Manager   ·   2016 – 2022</w:t>
      </w:r>
    </w:p>
    <w:p>
      <w:pPr>
        <w:pStyle w:val="ListBullet"/>
      </w:pPr>
      <w:r>
        <w:t>Sales gallery operations — owned delivery for project portfolio.</w:t>
      </w:r>
    </w:p>
    <w:p>
      <w:pPr>
        <w:pStyle w:val="ListBullet"/>
      </w:pPr>
      <w:r>
        <w:t>Vacant possession (vp) milestones — owned delivery for project portfolio.</w:t>
      </w:r>
    </w:p>
    <w:p>
      <w:pPr>
        <w:pStyle w:val="Heading1"/>
      </w:pPr>
      <w:r>
        <w:t>Skills</w:t>
      </w:r>
    </w:p>
    <w:p>
      <w:r>
        <w:t>GreenRE / GBI certified developments, construction-progress oversight, sales gallery operations, vacant possession (VP) milestones, BIM / digital construction</w:t>
      </w:r>
    </w:p>
    <w:p>
      <w:pPr>
        <w:pStyle w:val="Heading1"/>
      </w:pPr>
      <w:r>
        <w:t>Certifications</w:t>
      </w:r>
    </w:p>
    <w:p>
      <w:r>
        <w:t>Six Sigma Green Belt, ISO 45001 Lead Auditor</w:t>
      </w:r>
    </w:p>
    <w:p>
      <w:pPr>
        <w:pStyle w:val="Heading1"/>
      </w:pPr>
      <w:r>
        <w:t>Education</w:t>
      </w:r>
    </w:p>
    <w:p>
      <w:r>
        <w:t>Universiti Sains Malaysia (USM) — Bachelor of Engineering / Business</w:t>
      </w:r>
    </w:p>
    <w:p>
      <w:pPr>
        <w:pStyle w:val="Heading1"/>
      </w:pPr>
      <w:r>
        <w:t>Languages</w:t>
      </w:r>
    </w:p>
    <w:p>
      <w:r>
        <w:t>Bahasa Malaysia (Native), English (Professional)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