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Mei Ling Hassan</w:t>
      </w:r>
    </w:p>
    <w:p>
      <w:r>
        <w:t>Township General Manager (integrated developments)  ·  14 years experience  ·  Based: Bandar</w:t>
      </w:r>
    </w:p>
    <w:p>
      <w:r>
        <w:t>Email: meiling.hassan@email.com  ·  Mobile: +60-12-212-7693</w:t>
      </w:r>
    </w:p>
    <w:p>
      <w:pPr>
        <w:pStyle w:val="Heading1"/>
      </w:pPr>
      <w:r>
        <w:t>Professional Summary</w:t>
      </w:r>
    </w:p>
    <w:p>
      <w:r>
        <w:t>14-year property development leader with end-to-end township delivery across the Klang Valley and Iskandar Malaysia. Strong on sales-gallery operations, REHDA / KPKT compliance, vacant-possession (VP) milestones and developer-IRR optimisation.</w:t>
      </w:r>
    </w:p>
    <w:p>
      <w:pPr>
        <w:pStyle w:val="Heading1"/>
      </w:pPr>
      <w:r>
        <w:t>Experience</w:t>
      </w:r>
    </w:p>
    <w:p>
      <w:r>
        <w:rPr>
          <w:b/>
        </w:rPr>
        <w:t>IOI Properties Group</w:t>
      </w:r>
      <w:r>
        <w:t xml:space="preserve">   ·   Township General Manager (integrated developments)   ·   2022 – Present</w:t>
      </w:r>
    </w:p>
    <w:p>
      <w:pPr>
        <w:pStyle w:val="ListBullet"/>
      </w:pPr>
      <w:r>
        <w:t>Strata management act — led initiative across the region.</w:t>
      </w:r>
    </w:p>
    <w:p>
      <w:pPr>
        <w:pStyle w:val="ListBullet"/>
      </w:pPr>
      <w:r>
        <w:t>Greenre / gbi certified developments — led initiative across the region.</w:t>
      </w:r>
    </w:p>
    <w:p>
      <w:pPr>
        <w:pStyle w:val="ListBullet"/>
      </w:pPr>
      <w:r>
        <w:t>Land bank monetisation — led initiative across the region.</w:t>
      </w:r>
    </w:p>
    <w:p>
      <w:r>
        <w:rPr>
          <w:b/>
        </w:rPr>
        <w:t>IOI Properties Group</w:t>
      </w:r>
      <w:r>
        <w:t xml:space="preserve">   ·   Senior Township General Manager   ·   2016 – 2022</w:t>
      </w:r>
    </w:p>
    <w:p>
      <w:pPr>
        <w:pStyle w:val="ListBullet"/>
      </w:pPr>
      <w:r>
        <w:t>Bim / digital construction — owned delivery for project portfolio.</w:t>
      </w:r>
    </w:p>
    <w:p>
      <w:pPr>
        <w:pStyle w:val="ListBullet"/>
      </w:pPr>
      <w:r>
        <w:t>Mbpj / dbkl liaison — owned delivery for project portfolio.</w:t>
      </w:r>
    </w:p>
    <w:p>
      <w:pPr>
        <w:pStyle w:val="Heading1"/>
      </w:pPr>
      <w:r>
        <w:t>Skills</w:t>
      </w:r>
    </w:p>
    <w:p>
      <w:r>
        <w:t>land bank monetisation, STRATA Management Act, MBPJ / DBKL liaison, BIM / digital construction, GreenRE / GBI certified developments</w:t>
      </w:r>
    </w:p>
    <w:p>
      <w:pPr>
        <w:pStyle w:val="Heading1"/>
      </w:pPr>
      <w:r>
        <w:t>Certifications</w:t>
      </w:r>
    </w:p>
    <w:p>
      <w:r>
        <w:t>ISO 45001 Lead Auditor, Six Sigma Green Belt</w:t>
      </w:r>
    </w:p>
    <w:p>
      <w:pPr>
        <w:pStyle w:val="Heading1"/>
      </w:pPr>
      <w:r>
        <w:t>Education</w:t>
      </w:r>
    </w:p>
    <w:p>
      <w:r>
        <w:t>Universiti Teknologi Malaysia (UTM) — Bachelor of Engineering / Business</w:t>
      </w:r>
    </w:p>
    <w:p>
      <w:pPr>
        <w:pStyle w:val="Heading1"/>
      </w:pPr>
      <w:r>
        <w:t>Languages</w:t>
      </w:r>
    </w:p>
    <w:p>
      <w:r>
        <w:t>Bahasa Malaysia (Native), English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