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Hafiz Kumar</w:t>
      </w:r>
    </w:p>
    <w:p>
      <w:r>
        <w:t>Township General Manager (integrated developments)  ·  10 years experience  ·  Based: Contoso</w:t>
      </w:r>
    </w:p>
    <w:p>
      <w:r>
        <w:t>Email: hafiz.kumar@email.com  ·  Mobile: +60-12-852-7154</w:t>
      </w:r>
    </w:p>
    <w:p>
      <w:pPr>
        <w:pStyle w:val="Heading1"/>
      </w:pPr>
      <w:r>
        <w:t>Professional Summary</w:t>
      </w:r>
    </w:p>
    <w:p>
      <w:r>
        <w:t>10-year property development leader with end-to-end township delivery across the Klang Valley and Iskandar Malaysia. Strong on sales-gallery operations, REHDA / KPKT compliance, vacant-possession (VP) milestones and developer-IRR optimisation.</w:t>
      </w:r>
    </w:p>
    <w:p>
      <w:pPr>
        <w:pStyle w:val="Heading1"/>
      </w:pPr>
      <w:r>
        <w:t>Experience</w:t>
      </w:r>
    </w:p>
    <w:p>
      <w:r>
        <w:rPr>
          <w:b/>
        </w:rPr>
        <w:t>Sime Darby Property</w:t>
      </w:r>
      <w:r>
        <w:t xml:space="preserve">   ·   Township General Manager (integrated developments)   ·   2022 – Present</w:t>
      </w:r>
    </w:p>
    <w:p>
      <w:pPr>
        <w:pStyle w:val="ListBullet"/>
      </w:pPr>
      <w:r>
        <w:t>Mbpj / dbkl liaison — led initiative across the region.</w:t>
      </w:r>
    </w:p>
    <w:p>
      <w:pPr>
        <w:pStyle w:val="ListBullet"/>
      </w:pPr>
      <w:r>
        <w:t>Construction-progress oversight — led initiative across the region.</w:t>
      </w:r>
    </w:p>
    <w:p>
      <w:pPr>
        <w:pStyle w:val="ListBullet"/>
      </w:pPr>
      <w:r>
        <w:t>Land bank monetisation — led initiative across the region.</w:t>
      </w:r>
    </w:p>
    <w:p>
      <w:r>
        <w:rPr>
          <w:b/>
        </w:rPr>
        <w:t>IOI Properties Group</w:t>
      </w:r>
      <w:r>
        <w:t xml:space="preserve">   ·   Senior Township General Manager   ·   2016 – 2022</w:t>
      </w:r>
    </w:p>
    <w:p>
      <w:pPr>
        <w:pStyle w:val="ListBullet"/>
      </w:pPr>
      <w:r>
        <w:t>Mbpj / dbkl liaison — owned delivery for project portfolio.</w:t>
      </w:r>
    </w:p>
    <w:p>
      <w:pPr>
        <w:pStyle w:val="ListBullet"/>
      </w:pPr>
      <w:r>
        <w:t>Land bank monetisation — owned delivery for project portfolio.</w:t>
      </w:r>
    </w:p>
    <w:p>
      <w:pPr>
        <w:pStyle w:val="Heading1"/>
      </w:pPr>
      <w:r>
        <w:t>Skills</w:t>
      </w:r>
    </w:p>
    <w:p>
      <w:r>
        <w:t>REHDA / KPKT compliance, land bank monetisation, construction-progress oversight, MBPJ / DBKL liaison, integrated township masterplanning</w:t>
      </w:r>
    </w:p>
    <w:p>
      <w:pPr>
        <w:pStyle w:val="Heading1"/>
      </w:pPr>
      <w:r>
        <w:t>Certifications</w:t>
      </w:r>
    </w:p>
    <w:p>
      <w:r>
        <w:t>PRINCE2, PMP</w:t>
      </w:r>
    </w:p>
    <w:p>
      <w:pPr>
        <w:pStyle w:val="Heading1"/>
      </w:pPr>
      <w:r>
        <w:t>Education</w:t>
      </w:r>
    </w:p>
    <w:p>
      <w:r>
        <w:t>Sunway University — Bachelor of Engineering / Business</w:t>
      </w:r>
    </w:p>
    <w:p>
      <w:pPr>
        <w:pStyle w:val="Heading1"/>
      </w:pPr>
      <w:r>
        <w:t>Languages</w:t>
      </w:r>
    </w:p>
    <w:p>
      <w:r>
        <w:t>Bahasa Malaysia (Native), English (Professional)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