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Vincent Lee</w:t>
      </w:r>
    </w:p>
    <w:p>
      <w:r>
        <w:t>Township General Manager (integrated developments)  ·  10 years experience  ·  Based: Contoso</w:t>
      </w:r>
    </w:p>
    <w:p>
      <w:r>
        <w:t>Email: vincent.lee@email.com  ·  Mobile: +60-12-777-1883</w:t>
      </w:r>
    </w:p>
    <w:p>
      <w:pPr>
        <w:pStyle w:val="Heading1"/>
      </w:pPr>
      <w:r>
        <w:t>Professional Summary</w:t>
      </w:r>
    </w:p>
    <w:p>
      <w:r>
        <w:t>10-year property development leader with end-to-end township delivery across the Klang Valley and Iskandar Malaysia. Strong on sales-gallery operations, REHDA / KPKT compliance, vacant-possession (VP) milestones and developer-IRR optimisation.</w:t>
      </w:r>
    </w:p>
    <w:p>
      <w:pPr>
        <w:pStyle w:val="Heading1"/>
      </w:pPr>
      <w:r>
        <w:t>Experience</w:t>
      </w:r>
    </w:p>
    <w:p>
      <w:r>
        <w:rPr>
          <w:b/>
        </w:rPr>
        <w:t>Eco World Development</w:t>
      </w:r>
      <w:r>
        <w:t xml:space="preserve">   ·   Township General Manager (integrated developments)   ·   2022 – Present</w:t>
      </w:r>
    </w:p>
    <w:p>
      <w:pPr>
        <w:pStyle w:val="ListBullet"/>
      </w:pPr>
      <w:r>
        <w:t>Vacant possession (vp) milestones — led initiative across the region.</w:t>
      </w:r>
    </w:p>
    <w:p>
      <w:pPr>
        <w:pStyle w:val="ListBullet"/>
      </w:pPr>
      <w:r>
        <w:t>Developer irr optimisation — led initiative across the region.</w:t>
      </w:r>
    </w:p>
    <w:p>
      <w:pPr>
        <w:pStyle w:val="ListBullet"/>
      </w:pPr>
      <w:r>
        <w:t>Greenre / gbi certified developments — led initiative across the region.</w:t>
      </w:r>
    </w:p>
    <w:p>
      <w:r>
        <w:rPr>
          <w:b/>
        </w:rPr>
        <w:t>Mah Sing Group</w:t>
      </w:r>
      <w:r>
        <w:t xml:space="preserve">   ·   Senior Township General Manager   ·   2016 – 2022</w:t>
      </w:r>
    </w:p>
    <w:p>
      <w:pPr>
        <w:pStyle w:val="ListBullet"/>
      </w:pPr>
      <w:r>
        <w:t>Mbpj / dbkl liaison — owned delivery for project portfolio.</w:t>
      </w:r>
    </w:p>
    <w:p>
      <w:pPr>
        <w:pStyle w:val="ListBullet"/>
      </w:pPr>
      <w:r>
        <w:t>Build-then-sell (bts) — owned delivery for project portfolio.</w:t>
      </w:r>
    </w:p>
    <w:p>
      <w:pPr>
        <w:pStyle w:val="Heading1"/>
      </w:pPr>
      <w:r>
        <w:t>Skills</w:t>
      </w:r>
    </w:p>
    <w:p>
      <w:r>
        <w:t>MBPJ / DBKL liaison, GreenRE / GBI certified developments, developer IRR optimisation, Build-Then-Sell (BTS), vacant possession (VP) milestones</w:t>
      </w:r>
    </w:p>
    <w:p>
      <w:pPr>
        <w:pStyle w:val="Heading1"/>
      </w:pPr>
      <w:r>
        <w:t>Certifications</w:t>
      </w:r>
    </w:p>
    <w:p>
      <w:r>
        <w:t>RISM (Registered Surveyor), PRINCE2</w:t>
      </w:r>
    </w:p>
    <w:p>
      <w:pPr>
        <w:pStyle w:val="Heading1"/>
      </w:pPr>
      <w:r>
        <w:t>Education</w:t>
      </w:r>
    </w:p>
    <w:p>
      <w:r>
        <w:t>Universiti Teknologi Malaysia (UTM) — Bachelor of Engineering / Business</w:t>
      </w:r>
    </w:p>
    <w:p>
      <w:pPr>
        <w:pStyle w:val="Heading1"/>
      </w:pPr>
      <w:r>
        <w:t>Languages</w:t>
      </w:r>
    </w:p>
    <w:p>
      <w:r>
        <w:t>Bahasa Malaysia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