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Farah Loh</w:t>
      </w:r>
    </w:p>
    <w:p>
      <w:r>
        <w:t>Township General Manager (integrated developments)  ·  15 years experience  ·  Based: Contoso</w:t>
      </w:r>
    </w:p>
    <w:p>
      <w:r>
        <w:t>Email: farah.loh@email.com  ·  Mobile: +60-12-926-5003</w:t>
      </w:r>
    </w:p>
    <w:p>
      <w:pPr>
        <w:pStyle w:val="Heading1"/>
      </w:pPr>
      <w:r>
        <w:t>Professional Summary</w:t>
      </w:r>
    </w:p>
    <w:p>
      <w:r>
        <w:t>15-year property development leader with end-to-end township delivery across the Klang Valley and Iskandar Malaysia. Strong on sales-gallery operations, REHDA / KPKT compliance, vacant-possession (VP) milestones and developer-IRR optimisation.</w:t>
      </w:r>
    </w:p>
    <w:p>
      <w:pPr>
        <w:pStyle w:val="Heading1"/>
      </w:pPr>
      <w:r>
        <w:t>Experience</w:t>
      </w:r>
    </w:p>
    <w:p>
      <w:r>
        <w:rPr>
          <w:b/>
        </w:rPr>
        <w:t>IOI Properties Group</w:t>
      </w:r>
      <w:r>
        <w:t xml:space="preserve">   ·   Township General Manager (integrated developments)   ·   2022 – Present</w:t>
      </w:r>
    </w:p>
    <w:p>
      <w:pPr>
        <w:pStyle w:val="ListBullet"/>
      </w:pPr>
      <w:r>
        <w:t>Strata management act — led initiative across the region.</w:t>
      </w:r>
    </w:p>
    <w:p>
      <w:pPr>
        <w:pStyle w:val="ListBullet"/>
      </w:pPr>
      <w:r>
        <w:t>Developer irr optimisation — led initiative across the region.</w:t>
      </w:r>
    </w:p>
    <w:p>
      <w:pPr>
        <w:pStyle w:val="ListBullet"/>
      </w:pPr>
      <w:r>
        <w:t>Mbpj / dbkl liaison — led initiative across the region.</w:t>
      </w:r>
    </w:p>
    <w:p>
      <w:r>
        <w:rPr>
          <w:b/>
        </w:rPr>
        <w:t>Eco World Development</w:t>
      </w:r>
      <w:r>
        <w:t xml:space="preserve">   ·   Senior Township General Manager   ·   2016 – 2022</w:t>
      </w:r>
    </w:p>
    <w:p>
      <w:pPr>
        <w:pStyle w:val="ListBullet"/>
      </w:pPr>
      <w:r>
        <w:t>Mbpj / dbkl liaison — owned delivery for project portfolio.</w:t>
      </w:r>
    </w:p>
    <w:p>
      <w:pPr>
        <w:pStyle w:val="ListBullet"/>
      </w:pPr>
      <w:r>
        <w:t>Construction-progress oversight — owned delivery for project portfolio.</w:t>
      </w:r>
    </w:p>
    <w:p>
      <w:pPr>
        <w:pStyle w:val="Heading1"/>
      </w:pPr>
      <w:r>
        <w:t>Skills</w:t>
      </w:r>
    </w:p>
    <w:p>
      <w:r>
        <w:t>STRATA Management Act, developer IRR optimisation, BIM / digital construction, construction-progress oversight, MBPJ / DBKL liaison</w:t>
      </w:r>
    </w:p>
    <w:p>
      <w:pPr>
        <w:pStyle w:val="Heading1"/>
      </w:pPr>
      <w:r>
        <w:t>Certifications</w:t>
      </w:r>
    </w:p>
    <w:p>
      <w:r>
        <w:t>RISM (Registered Surveyor), PRINCE2</w:t>
      </w:r>
    </w:p>
    <w:p>
      <w:pPr>
        <w:pStyle w:val="Heading1"/>
      </w:pPr>
      <w:r>
        <w:t>Education</w:t>
      </w:r>
    </w:p>
    <w:p>
      <w:r>
        <w:t>Universiti Malaya (UM) — Bachelor of Engineering / Business</w:t>
      </w:r>
    </w:p>
    <w:p>
      <w:pPr>
        <w:pStyle w:val="Heading1"/>
      </w:pPr>
      <w:r>
        <w:t>Languages</w:t>
      </w:r>
    </w:p>
    <w:p>
      <w:r>
        <w:t>Bahasa Malaysia (Native), English (Conversational)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