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Farah Mahmud</w:t>
      </w:r>
    </w:p>
    <w:p>
      <w:r>
        <w:t>Township General Manager (integrated developments)  ·  10 years experience  ·  Based: Contoso</w:t>
      </w:r>
    </w:p>
    <w:p>
      <w:r>
        <w:t>Email: farah.mahmud@email.com  ·  Mobile: +60-12-515-4554</w:t>
      </w:r>
    </w:p>
    <w:p>
      <w:pPr>
        <w:pStyle w:val="Heading1"/>
      </w:pPr>
      <w:r>
        <w:t>Professional Summary</w:t>
      </w:r>
    </w:p>
    <w:p>
      <w:r>
        <w:t>10-year property development leader with end-to-end township delivery across the Klang Valley and Iskandar Malaysia. Strong on sales-gallery operations, REHDA / KPKT compliance, vacant-possession (VP) milestones and developer-IRR optimisation.</w:t>
      </w:r>
    </w:p>
    <w:p>
      <w:pPr>
        <w:pStyle w:val="Heading1"/>
      </w:pPr>
      <w:r>
        <w:t>Experience</w:t>
      </w:r>
    </w:p>
    <w:p>
      <w:r>
        <w:rPr>
          <w:b/>
        </w:rPr>
        <w:t>UEM Sunrise</w:t>
      </w:r>
      <w:r>
        <w:t xml:space="preserve">   ·   Township General Manager (integrated developments)   ·   2022 – Present</w:t>
      </w:r>
    </w:p>
    <w:p>
      <w:pPr>
        <w:pStyle w:val="ListBullet"/>
      </w:pPr>
      <w:r>
        <w:t>Rehda / kpkt compliance — led initiative across the region.</w:t>
      </w:r>
    </w:p>
    <w:p>
      <w:pPr>
        <w:pStyle w:val="ListBullet"/>
      </w:pPr>
      <w:r>
        <w:t>Greenre / gbi certified developments — led initiative across the region.</w:t>
      </w:r>
    </w:p>
    <w:p>
      <w:pPr>
        <w:pStyle w:val="ListBullet"/>
      </w:pPr>
      <w:r>
        <w:t>Developer irr optimisation — led initiative across the region.</w:t>
      </w:r>
    </w:p>
    <w:p>
      <w:r>
        <w:rPr>
          <w:b/>
        </w:rPr>
        <w:t>Mah Sing Group</w:t>
      </w:r>
      <w:r>
        <w:t xml:space="preserve">   ·   Senior Township General Manager   ·   2016 – 2022</w:t>
      </w:r>
    </w:p>
    <w:p>
      <w:pPr>
        <w:pStyle w:val="ListBullet"/>
      </w:pPr>
      <w:r>
        <w:t>Greenre / gbi certified developments — owned delivery for project portfolio.</w:t>
      </w:r>
    </w:p>
    <w:p>
      <w:pPr>
        <w:pStyle w:val="ListBullet"/>
      </w:pPr>
      <w:r>
        <w:t>Developer irr optimisation — owned delivery for project portfolio.</w:t>
      </w:r>
    </w:p>
    <w:p>
      <w:pPr>
        <w:pStyle w:val="Heading1"/>
      </w:pPr>
      <w:r>
        <w:t>Skills</w:t>
      </w:r>
    </w:p>
    <w:p>
      <w:r>
        <w:t>GreenRE / GBI certified developments, Build-Then-Sell (BTS), developer IRR optimisation, construction-progress oversight, REHDA / KPKT compliance</w:t>
      </w:r>
    </w:p>
    <w:p>
      <w:pPr>
        <w:pStyle w:val="Heading1"/>
      </w:pPr>
      <w:r>
        <w:t>Certifications</w:t>
      </w:r>
    </w:p>
    <w:p>
      <w:r>
        <w:t>RISM (Registered Surveyor), PRINCE2</w:t>
      </w:r>
    </w:p>
    <w:p>
      <w:pPr>
        <w:pStyle w:val="Heading1"/>
      </w:pPr>
      <w:r>
        <w:t>Education</w:t>
      </w:r>
    </w:p>
    <w:p>
      <w:r>
        <w:t>Taylor's University — Bachelor of Engineering / Business</w:t>
      </w:r>
    </w:p>
    <w:p>
      <w:pPr>
        <w:pStyle w:val="Heading1"/>
      </w:pPr>
      <w:r>
        <w:t>Languages</w:t>
      </w:r>
    </w:p>
    <w:p>
      <w:r>
        <w:t>Bahasa Malaysia (Native), English (Professional)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