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Premium Brand Share &amp; Distribution Coverage — Q3 Strategy Review</w:t>
      </w:r>
    </w:p>
    <w:p>
      <w:r>
        <w:t>Contoso Tobacco &amp; Wellness · Strategic Memo · Internal · 09 June 2026</w:t>
      </w:r>
    </w:p>
    <w:p/>
    <w:p>
      <w:pPr>
        <w:pStyle w:val="Heading1"/>
      </w:pPr>
      <w:r>
        <w:t>Executive Summary</w:t>
      </w:r>
    </w:p>
    <w:p>
      <w:r>
        <w:t>Premium-tier brand share has lifted to 6.4% (+0.6 pt YoY) but full-year volume is tracking 4% below plan as the FY26 CHT (excise) step accelerated trade-down to mid-tier. Active outlet coverage is 78% vs an 82% target, with the gap concentrated in Sulawesi and Kalimantan general-trade. We recommend a targeted premium-defence pricing playbook, an accelerated modern-trade and key-account programme, and a phased market-readiness plan for the FY26 ginseng / health-functional-foods launch.</w:t>
      </w:r>
    </w:p>
    <w:p>
      <w:pPr>
        <w:pStyle w:val="Heading1"/>
      </w:pPr>
      <w:r>
        <w:t>Where we are</w:t>
      </w:r>
    </w:p>
    <w:p>
      <w:pPr>
        <w:pStyle w:val="ListBullet"/>
      </w:pPr>
      <w:r>
        <w:t>Stick Volume — All Brands (M sticks) — current YTD vs plan; full breakdown in 02 Contoso_KPI_Dashboard.xlsx.</w:t>
      </w:r>
    </w:p>
    <w:p>
      <w:pPr>
        <w:pStyle w:val="ListBullet"/>
      </w:pPr>
      <w:r>
        <w:t>Premium Brand Share % — current YTD vs plan; full breakdown in 02 Contoso_KPI_Dashboard.xlsx.</w:t>
      </w:r>
    </w:p>
    <w:p>
      <w:pPr>
        <w:pStyle w:val="ListBullet"/>
      </w:pPr>
      <w:r>
        <w:t>Active Outlet Coverage % — current YTD vs plan; full breakdown in 02 Contoso_KPI_Dashboard.xlsx.</w:t>
      </w:r>
    </w:p>
    <w:p>
      <w:pPr>
        <w:pStyle w:val="Heading1"/>
      </w:pPr>
      <w:r>
        <w:t>Three Strategic Priorities (FY26 H2)</w:t>
      </w:r>
    </w:p>
    <w:p>
      <w:pPr>
        <w:pStyle w:val="ListNumber"/>
      </w:pPr>
      <w:r>
        <w:t>Premium-defence pricing playbook in 5 priority cities to protect Esse-class share.</w:t>
      </w:r>
    </w:p>
    <w:p>
      <w:pPr>
        <w:pStyle w:val="ListNumber"/>
      </w:pPr>
      <w:r>
        <w:t>Accelerate modern-trade and key-account programme; close the 4-pt outlet-coverage gap by Q4.</w:t>
      </w:r>
    </w:p>
    <w:p>
      <w:pPr>
        <w:pStyle w:val="ListNumber"/>
      </w:pPr>
      <w:r>
        <w:t>Phased market-readiness plan for the FY26 ginseng / health-functional-foods launch (BPOM, distribution, trade marketing).</w:t>
      </w:r>
    </w:p>
    <w:p>
      <w:pPr>
        <w:pStyle w:val="Heading1"/>
      </w:pPr>
      <w:r>
        <w:t>Recommended Decision</w:t>
      </w:r>
    </w:p>
    <w:p>
      <w:r>
        <w:t>The Operations Committee is asked to (i) approve the FY26 H2 priorities, (ii) endorse the capex envelope outlined in the appendix, and (iii) authorise the GM to commission a 90-day delivery plan.</w:t>
      </w:r>
    </w:p>
    <w:p>
      <w:pPr>
        <w:pStyle w:val="Heading1"/>
      </w:pPr>
      <w:r>
        <w:t>Risks &amp; Open Questions</w:t>
      </w:r>
    </w:p>
    <w:p>
      <w:pPr>
        <w:pStyle w:val="ListBullet"/>
      </w:pPr>
      <w:r>
        <w:t>Funding envelope confirmation — pending CFO.</w:t>
      </w:r>
    </w:p>
    <w:p>
      <w:pPr>
        <w:pStyle w:val="ListBullet"/>
      </w:pPr>
      <w:r>
        <w:t>Regulatory timeline (where applicable).</w:t>
      </w:r>
    </w:p>
    <w:p>
      <w:pPr>
        <w:pStyle w:val="ListBullet"/>
      </w:pPr>
      <w:r>
        <w:t>Talent availability for accelerated rollout — see HR shortlist.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