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Potential Merger — Discussion Transcript</w:t>
      </w:r>
    </w:p>
    <w:p>
      <w:r>
        <w:t>Contoso Tobacco &amp; Wellness · Confidential · Strategy &amp; Corp Dev · 10 June 2026</w:t>
      </w:r>
    </w:p>
    <w:p/>
    <w:p>
      <w:pPr>
        <w:pStyle w:val="Heading1"/>
      </w:pPr>
      <w:r>
        <w:t>Meeting Details</w:t>
      </w:r>
    </w:p>
    <w:p>
      <w:r>
        <w:t>Subject: Potential Merger — Project Horizon — Nusantara Wellness Foods</w:t>
      </w:r>
    </w:p>
    <w:p>
      <w:r>
        <w:t>Date: 10 June 2026  ·  Duration: 58 minutes  ·  Channel: Microsoft Teams</w:t>
      </w:r>
    </w:p>
    <w:p>
      <w:r>
        <w:t>Chair: Pak Hendra Susanto (General Manager · Indonesia)</w:t>
      </w:r>
    </w:p>
    <w:p>
      <w:r>
        <w:t>Attendees: GM, CFO, COO, Head of Strategy, Head of HR, Head of Legal, External Advisor (boutique IB)</w:t>
      </w:r>
    </w:p>
    <w:p>
      <w:pPr>
        <w:pStyle w:val="Heading1"/>
      </w:pPr>
      <w:r>
        <w:t>Opening — context from the GM</w:t>
      </w:r>
    </w:p>
    <w:p>
      <w:r>
        <w:t>Pak Hendra Susanto: "Thanks everyone. The Board has asked us to come back at the next session with a clear go / no-go view on Project Horizon. To recap — the target is Nusantara Wellness Foods, an Indonesian health-functional-foods manufacturer (~Rp 850 bn revenue) with BPOM-registered ginseng, royal-jelly and herbal-tonic SKUs and a strong modern-trade footprint. The strategic rationale is straightforward: it fast-tracks our entry into the Indonesian health-functional-foods category, leveraging KTNG&amp;#39;s global ginseng heritage with a local BPOM-registered platform. Today I want us to pressure-test three things — the deal economics, the integration plan, and the deal-breakers. Let&amp;#39;s keep this tight."</w:t>
      </w:r>
    </w:p>
    <w:p>
      <w:pPr>
        <w:pStyle w:val="Heading1"/>
      </w:pPr>
      <w:r>
        <w:t>Deal economics — CFO</w:t>
      </w:r>
    </w:p>
    <w:p>
      <w:r>
        <w:t>CFO: "Headline number is USD 38m enterprise value (cash + 2-year earn-out). Our base case shows accretion from year two, assuming we capture about 60% of the identified synergies — principally cross-portfolio modern-trade leverage, shared trade-marketing, HQ G&amp;amp;A consolidation, exporting Korean-ginseng IP into local SKUs. The downside case — synergies at 30%, integration costs 20% over — still clears our hurdle rate, but barely. Funding is a mix of operating cash and a new revolver; we have indicative term sheets from two banks."</w:t>
      </w:r>
    </w:p>
    <w:p>
      <w:r>
        <w:t>Pak Hendra Susanto: "What kills the deal economics?"</w:t>
      </w:r>
    </w:p>
    <w:p>
      <w:r>
        <w:t>CFO: "Three things — a 15%+ over-pay vs current ask, synergies coming in below 30%, or a material liability discovered in diligence. We have flagged all three in the risk register."</w:t>
      </w:r>
    </w:p>
    <w:p>
      <w:pPr>
        <w:pStyle w:val="Heading1"/>
      </w:pPr>
      <w:r>
        <w:t>Integration plan — COO</w:t>
      </w:r>
    </w:p>
    <w:p>
      <w:r>
        <w:t>COO: "I would split the integration into three waves. Wave one is the back-office and supplier rationalisation in the first 90 days. Wave two is the operating-model harmonisation over months 4 to 9. Wave three — and this is the riskiest — is the front-line / customer-facing changes. My recommendation is to keep the front-line brand intact for the first 12 months. Day-one disruption is the biggest single risk to value."</w:t>
      </w:r>
    </w:p>
    <w:p>
      <w:r>
        <w:t>COO: "I want to flag the concerns the team has surfaced: halal certification continuity (LPPOM-MUI); founder-CEO retention; BPOM permit transferability; brand-dilution risk if we co-mingle with the tobacco portfolio. None of these are deal-breakers on their own, but together they argue for a phased close and a strong retention package for the top 30 people on day one."</w:t>
      </w:r>
    </w:p>
    <w:p>
      <w:pPr>
        <w:pStyle w:val="Heading1"/>
      </w:pPr>
      <w:r>
        <w:t>People &amp; culture — Head of HR</w:t>
      </w:r>
    </w:p>
    <w:p>
      <w:r>
        <w:t>HR: "Two points. First, we will need a retention pool — my early estimate is 0.7% to 1.0% of deal value, ring-fenced for the top 30 to 50 employees. Second, the culture diagnostic should start before signing, not after. We have used a 10-day cultural-due-diligence approach before and it has paid for itself."</w:t>
      </w:r>
    </w:p>
    <w:p>
      <w:pPr>
        <w:pStyle w:val="Heading1"/>
      </w:pPr>
      <w:r>
        <w:t>Legal &amp; regulatory — Head of Legal</w:t>
      </w:r>
    </w:p>
    <w:p>
      <w:r>
        <w:t>Legal: "Filings will be required with KPPU (competition authority) and the sector regulator. We do not expect substantive issues, but the timeline is 90 to 120 days minimum. I would also recommend an MAC clause tightly drafted around the top three concerns the COO flagged."</w:t>
      </w:r>
    </w:p>
    <w:p>
      <w:pPr>
        <w:pStyle w:val="Heading1"/>
      </w:pPr>
      <w:r>
        <w:t>Decisions</w:t>
      </w:r>
    </w:p>
    <w:p>
      <w:pPr>
        <w:pStyle w:val="ListNumber"/>
      </w:pPr>
      <w:r>
        <w:t>Proceed with confirmatory due diligence; budget approved up to USD 350k for advisors.</w:t>
      </w:r>
    </w:p>
    <w:p>
      <w:pPr>
        <w:pStyle w:val="ListNumber"/>
      </w:pPr>
      <w:r>
        <w:t>CFO to refresh base / downside cases with sensitivity on the three deal-breakers identified.</w:t>
      </w:r>
    </w:p>
    <w:p>
      <w:pPr>
        <w:pStyle w:val="ListNumber"/>
      </w:pPr>
      <w:r>
        <w:t>COO to draft a 100-day integration plan covering Wave 1 only, for the next Board pre-read.</w:t>
      </w:r>
    </w:p>
    <w:p>
      <w:pPr>
        <w:pStyle w:val="ListNumber"/>
      </w:pPr>
      <w:r>
        <w:t>HR to scope the retention pool and a 10-day cultural-due-diligence approach.</w:t>
      </w:r>
    </w:p>
    <w:p>
      <w:pPr>
        <w:pStyle w:val="ListNumber"/>
      </w:pPr>
      <w:r>
        <w:t>Legal to circulate a draft MAC clause and a regulator timeline by end of next week.</w:t>
      </w:r>
    </w:p>
    <w:p>
      <w:pPr>
        <w:pStyle w:val="ListNumber"/>
      </w:pPr>
      <w:r>
        <w:t>Reconvene in two weeks; target Board decision at the next quarterly session.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CFO — refreshed financial model with sensitivities — due in 10 working days.</w:t>
      </w:r>
    </w:p>
    <w:p>
      <w:pPr>
        <w:pStyle w:val="ListBullet"/>
      </w:pPr>
      <w:r>
        <w:t>COO — Wave-1 integration plan (back-office + supplier) — due in 10 working days.</w:t>
      </w:r>
    </w:p>
    <w:p>
      <w:pPr>
        <w:pStyle w:val="ListBullet"/>
      </w:pPr>
      <w:r>
        <w:t>HR — retention-pool sizing and cultural-DD scope — due in 7 working days.</w:t>
      </w:r>
    </w:p>
    <w:p>
      <w:pPr>
        <w:pStyle w:val="ListBullet"/>
      </w:pPr>
      <w:r>
        <w:t>Legal — draft MAC clause + regulator timeline — due in 5 working days.</w:t>
      </w:r>
    </w:p>
    <w:p>
      <w:pPr>
        <w:pStyle w:val="ListBullet"/>
      </w:pPr>
      <w:r>
        <w:t>Pak — Board pre-read consolidating the above — due 3 working days before next Board.</w:t>
      </w:r>
    </w:p>
    <w:p>
      <w:pPr>
        <w:pStyle w:val="Heading1"/>
      </w:pPr>
      <w:r>
        <w:t>Closing — GM</w:t>
      </w:r>
    </w:p>
    <w:p>
      <w:r>
        <w:t>Pak Hendra Susanto: "Good discussion. Let me be clear on the bar: I want a clean recommendation — go or no-go — with the three deal-breakers tested and a retention plan that we can stand behind on day one. Thanks everyone."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