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Fajar Hakim</w:t>
      </w:r>
    </w:p>
    <w:p>
      <w:r>
        <w:t>Trade Marketing &amp; Distribution Manager  ·  8 years experience  ·  Based: Jakarta</w:t>
      </w:r>
    </w:p>
    <w:p>
      <w:r>
        <w:t>Email: fajar.hakim@email.com  ·  Mobile: +62-812-4178-2444</w:t>
      </w:r>
    </w:p>
    <w:p>
      <w:pPr>
        <w:pStyle w:val="Heading1"/>
      </w:pPr>
      <w:r>
        <w:t>Professional Summary</w:t>
      </w:r>
    </w:p>
    <w:p>
      <w:r>
        <w:t>8-year FMCG trade-marketing &amp; distribution leader in regulated categories (tobacco / health-functional-foods). Proven on outlet-coverage growth, modern-trade key-account management, and excise (CHT) compliance.</w:t>
      </w:r>
    </w:p>
    <w:p>
      <w:pPr>
        <w:pStyle w:val="Heading1"/>
      </w:pPr>
      <w:r>
        <w:t>Experience</w:t>
      </w:r>
    </w:p>
    <w:p>
      <w:r>
        <w:rPr>
          <w:b/>
        </w:rPr>
        <w:t>Gudang Garam</w:t>
      </w:r>
      <w:r>
        <w:t xml:space="preserve">   ·   Trade Marketing &amp; Distribution Manager   ·   2022 – Present</w:t>
      </w:r>
    </w:p>
    <w:p>
      <w:pPr>
        <w:pStyle w:val="ListBullet"/>
      </w:pPr>
      <w:r>
        <w:t>Tobacco regulation (pp 109/2012) — led initiative across the region.</w:t>
      </w:r>
    </w:p>
    <w:p>
      <w:pPr>
        <w:pStyle w:val="ListBullet"/>
      </w:pPr>
      <w:r>
        <w:t>Horeca channel — led initiative across the region.</w:t>
      </w:r>
    </w:p>
    <w:p>
      <w:pPr>
        <w:pStyle w:val="ListBullet"/>
      </w:pPr>
      <w:r>
        <w:t>Trade marketing — led initiative across the region.</w:t>
      </w:r>
    </w:p>
    <w:p>
      <w:r>
        <w:rPr>
          <w:b/>
        </w:rPr>
        <w:t>Gudang Garam</w:t>
      </w:r>
      <w:r>
        <w:t xml:space="preserve">   ·   Senior Trade Marketing &amp; Distribution Manager   ·   2016 – 2022</w:t>
      </w:r>
    </w:p>
    <w:p>
      <w:pPr>
        <w:pStyle w:val="ListBullet"/>
      </w:pPr>
      <w:r>
        <w:t>Brand activation — owned delivery for project portfolio.</w:t>
      </w:r>
    </w:p>
    <w:p>
      <w:pPr>
        <w:pStyle w:val="ListBullet"/>
      </w:pPr>
      <w:r>
        <w:t>Trade marketing — owned delivery for project portfolio.</w:t>
      </w:r>
    </w:p>
    <w:p>
      <w:pPr>
        <w:pStyle w:val="Heading1"/>
      </w:pPr>
      <w:r>
        <w:t>Skills</w:t>
      </w:r>
    </w:p>
    <w:p>
      <w:r>
        <w:t>brand activation, general trade, trade marketing, horeca channel, tobacco regulation (PP 109/2012)</w:t>
      </w:r>
    </w:p>
    <w:p>
      <w:pPr>
        <w:pStyle w:val="Heading1"/>
      </w:pPr>
      <w:r>
        <w:t>Certifications</w:t>
      </w:r>
    </w:p>
    <w:p>
      <w:r>
        <w:t>PRINCE2, ISO 45001 Lead Auditor</w:t>
      </w:r>
    </w:p>
    <w:p>
      <w:pPr>
        <w:pStyle w:val="Heading1"/>
      </w:pPr>
      <w:r>
        <w:t>Education</w:t>
      </w:r>
    </w:p>
    <w:p>
      <w:r>
        <w:t>Universitas Gadjah Mada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