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Galih Pramesti</w:t>
      </w:r>
    </w:p>
    <w:p>
      <w:r>
        <w:t>Trade Marketing &amp; Distribution Manager  ·  15 years experience  ·  Based: Jakarta</w:t>
      </w:r>
    </w:p>
    <w:p>
      <w:r>
        <w:t>Email: galih.pramesti@email.com  ·  Mobile: +62-812-1463-8552</w:t>
      </w:r>
    </w:p>
    <w:p>
      <w:pPr>
        <w:pStyle w:val="Heading1"/>
      </w:pPr>
      <w:r>
        <w:t>Professional Summary</w:t>
      </w:r>
    </w:p>
    <w:p>
      <w:r>
        <w:t>15-year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Wismilak</w:t>
      </w:r>
      <w:r>
        <w:t xml:space="preserve">   ·   Trade Marketing &amp; Distribution Manager   ·   2022 – Present</w:t>
      </w:r>
    </w:p>
    <w:p>
      <w:pPr>
        <w:pStyle w:val="ListBullet"/>
      </w:pPr>
      <w:r>
        <w:t>Fmcg distribution — led initiative across the region.</w:t>
      </w:r>
    </w:p>
    <w:p>
      <w:pPr>
        <w:pStyle w:val="ListBullet"/>
      </w:pPr>
      <w:r>
        <w:t>Brand activation — led initiative across the region.</w:t>
      </w:r>
    </w:p>
    <w:p>
      <w:pPr>
        <w:pStyle w:val="ListBullet"/>
      </w:pPr>
      <w:r>
        <w:t>Tobacco regulation (pp 109/2012) — led initiative across the region.</w:t>
      </w:r>
    </w:p>
    <w:p>
      <w:r>
        <w:rPr>
          <w:b/>
        </w:rPr>
        <w:t>Nojorono</w:t>
      </w:r>
      <w:r>
        <w:t xml:space="preserve">   ·   Senior Trade Marketing &amp; Distribution Manager   ·   2016 – 2022</w:t>
      </w:r>
    </w:p>
    <w:p>
      <w:pPr>
        <w:pStyle w:val="ListBullet"/>
      </w:pPr>
      <w:r>
        <w:t>Tobacco regulation (pp 109/2012) — owned delivery for project portfolio.</w:t>
      </w:r>
    </w:p>
    <w:p>
      <w:pPr>
        <w:pStyle w:val="ListBullet"/>
      </w:pPr>
      <w:r>
        <w:t>Trade marketing — owned delivery for project portfolio.</w:t>
      </w:r>
    </w:p>
    <w:p>
      <w:pPr>
        <w:pStyle w:val="Heading1"/>
      </w:pPr>
      <w:r>
        <w:t>Skills</w:t>
      </w:r>
    </w:p>
    <w:p>
      <w:r>
        <w:t>brand activation, trade marketing, horeca channel, FMCG distribution, tobacco regulation (PP 109/2012)</w:t>
      </w:r>
    </w:p>
    <w:p>
      <w:pPr>
        <w:pStyle w:val="Heading1"/>
      </w:pPr>
      <w:r>
        <w:t>Certifications</w:t>
      </w:r>
    </w:p>
    <w:p>
      <w:r>
        <w:t>AK3 Umum, PRINCE2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