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Sari Setiawan</w:t>
      </w:r>
    </w:p>
    <w:p>
      <w:r>
        <w:t>Trade Marketing &amp; Distribution Manager  ·  16 years experience  ·  Based: Bandung</w:t>
      </w:r>
    </w:p>
    <w:p>
      <w:r>
        <w:t>Email: sari.setiawan@email.com  ·  Mobile: +62-812-6448-5175</w:t>
      </w:r>
    </w:p>
    <w:p>
      <w:pPr>
        <w:pStyle w:val="Heading1"/>
      </w:pPr>
      <w:r>
        <w:t>Professional Summary</w:t>
      </w:r>
    </w:p>
    <w:p>
      <w:r>
        <w:t>16-year FMCG trade-marketing &amp; distribution leader in regulated categories (tobacco / health-functional-foods). Proven on outlet-coverage growth, modern-trade key-account management, and excise (CHT) compliance.</w:t>
      </w:r>
    </w:p>
    <w:p>
      <w:pPr>
        <w:pStyle w:val="Heading1"/>
      </w:pPr>
      <w:r>
        <w:t>Experience</w:t>
      </w:r>
    </w:p>
    <w:p>
      <w:r>
        <w:rPr>
          <w:b/>
        </w:rPr>
        <w:t>Djarum</w:t>
      </w:r>
      <w:r>
        <w:t xml:space="preserve">   ·   Trade Marketing &amp; Distribution Manager   ·   2022 – Present</w:t>
      </w:r>
    </w:p>
    <w:p>
      <w:pPr>
        <w:pStyle w:val="ListBullet"/>
      </w:pPr>
      <w:r>
        <w:t>General trade — led initiative across the region.</w:t>
      </w:r>
    </w:p>
    <w:p>
      <w:pPr>
        <w:pStyle w:val="ListBullet"/>
      </w:pPr>
      <w:r>
        <w:t>Modern trade — led initiative across the region.</w:t>
      </w:r>
    </w:p>
    <w:p>
      <w:pPr>
        <w:pStyle w:val="ListBullet"/>
      </w:pPr>
      <w:r>
        <w:t>Tobacco regulation (pp 109/2012) — led initiative across the region.</w:t>
      </w:r>
    </w:p>
    <w:p>
      <w:r>
        <w:rPr>
          <w:b/>
        </w:rPr>
        <w:t>Wismilak</w:t>
      </w:r>
      <w:r>
        <w:t xml:space="preserve">   ·   Senior Trade Marketing &amp; Distribution Manager   ·   2016 – 2022</w:t>
      </w:r>
    </w:p>
    <w:p>
      <w:pPr>
        <w:pStyle w:val="ListBullet"/>
      </w:pPr>
      <w:r>
        <w:t>Outlet coverage growth — owned delivery for project portfolio.</w:t>
      </w:r>
    </w:p>
    <w:p>
      <w:pPr>
        <w:pStyle w:val="ListBullet"/>
      </w:pPr>
      <w:r>
        <w:t>Modern trade — owned delivery for project portfolio.</w:t>
      </w:r>
    </w:p>
    <w:p>
      <w:pPr>
        <w:pStyle w:val="Heading1"/>
      </w:pPr>
      <w:r>
        <w:t>Skills</w:t>
      </w:r>
    </w:p>
    <w:p>
      <w:r>
        <w:t>general trade, modern trade, FMCG distribution, tobacco regulation (PP 109/2012), outlet coverage growth</w:t>
      </w:r>
    </w:p>
    <w:p>
      <w:pPr>
        <w:pStyle w:val="Heading1"/>
      </w:pPr>
      <w:r>
        <w:t>Certifications</w:t>
      </w:r>
    </w:p>
    <w:p>
      <w:r>
        <w:t>PRINCE2, Six Sigma Green Belt</w:t>
      </w:r>
    </w:p>
    <w:p>
      <w:pPr>
        <w:pStyle w:val="Heading1"/>
      </w:pPr>
      <w:r>
        <w:t>Education</w:t>
      </w:r>
    </w:p>
    <w:p>
      <w:r>
        <w:t>Bina Nusantara University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