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Dewi Setiawan</w:t>
      </w:r>
    </w:p>
    <w:p>
      <w:r>
        <w:t>Trade Marketing &amp; Distribution Manager  ·  10 years experience  ·  Based: Jakarta</w:t>
      </w:r>
    </w:p>
    <w:p>
      <w:r>
        <w:t>Email: dewi.setiawan@email.com  ·  Mobile: +62-812-6257-1996</w:t>
      </w:r>
    </w:p>
    <w:p>
      <w:pPr>
        <w:pStyle w:val="Heading1"/>
      </w:pPr>
      <w:r>
        <w:t>Professional Summary</w:t>
      </w:r>
    </w:p>
    <w:p>
      <w:r>
        <w:t>10-year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Wismilak</w:t>
      </w:r>
      <w:r>
        <w:t xml:space="preserve">   ·   Trade Marketing &amp; Distribution Manager   ·   2022 – Present</w:t>
      </w:r>
    </w:p>
    <w:p>
      <w:pPr>
        <w:pStyle w:val="ListBullet"/>
      </w:pPr>
      <w:r>
        <w:t>Modern trade — led initiative across the region.</w:t>
      </w:r>
    </w:p>
    <w:p>
      <w:pPr>
        <w:pStyle w:val="ListBullet"/>
      </w:pPr>
      <w:r>
        <w:t>General trade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r>
        <w:rPr>
          <w:b/>
        </w:rPr>
        <w:t>Wismilak</w:t>
      </w:r>
      <w:r>
        <w:t xml:space="preserve">   ·   Senior Trade Marketing &amp; Distribution Manager   ·   2016 – 2022</w:t>
      </w:r>
    </w:p>
    <w:p>
      <w:pPr>
        <w:pStyle w:val="ListBullet"/>
      </w:pPr>
      <w:r>
        <w:t>Trade marketing — owned delivery for project portfolio.</w:t>
      </w:r>
    </w:p>
    <w:p>
      <w:pPr>
        <w:pStyle w:val="ListBullet"/>
      </w:pPr>
      <w:r>
        <w:t>Horeca channel — owned delivery for project portfolio.</w:t>
      </w:r>
    </w:p>
    <w:p>
      <w:pPr>
        <w:pStyle w:val="Heading1"/>
      </w:pPr>
      <w:r>
        <w:t>Skills</w:t>
      </w:r>
    </w:p>
    <w:p>
      <w:r>
        <w:t>tobacco regulation (PP 109/2012), modern trade, trade marketing, horeca channel, general trade</w:t>
      </w:r>
    </w:p>
    <w:p>
      <w:pPr>
        <w:pStyle w:val="Heading1"/>
      </w:pPr>
      <w:r>
        <w:t>Certifications</w:t>
      </w:r>
    </w:p>
    <w:p>
      <w:r>
        <w:t>PRINCE2, ISO 45001 Lead Auditor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