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Hidayat</w:t>
      </w:r>
    </w:p>
    <w:p>
      <w:r>
        <w:t>Trade Marketing &amp; Distribution Manager  ·  18 years experience  ·  Based: Karawang</w:t>
      </w:r>
    </w:p>
    <w:p>
      <w:r>
        <w:t>Email: citra.hidayat@email.com  ·  Mobile: +62-812-3197-7052</w:t>
      </w:r>
    </w:p>
    <w:p>
      <w:pPr>
        <w:pStyle w:val="Heading1"/>
      </w:pPr>
      <w:r>
        <w:t>Professional Summary</w:t>
      </w:r>
    </w:p>
    <w:p>
      <w:r>
        <w:t>18-year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HM Sampoerna (Philip Morris)</w:t>
      </w:r>
      <w:r>
        <w:t xml:space="preserve">   ·   Trade Marketing &amp; Distribution Manager   ·   2022 – Present</w:t>
      </w:r>
    </w:p>
    <w:p>
      <w:pPr>
        <w:pStyle w:val="ListBullet"/>
      </w:pPr>
      <w:r>
        <w:t>Fmcg distribution — led initiative across the region.</w:t>
      </w:r>
    </w:p>
    <w:p>
      <w:pPr>
        <w:pStyle w:val="ListBullet"/>
      </w:pPr>
      <w:r>
        <w:t>Tobacco regulation (pp 109/2012) — led initiative across the region.</w:t>
      </w:r>
    </w:p>
    <w:p>
      <w:pPr>
        <w:pStyle w:val="ListBullet"/>
      </w:pPr>
      <w:r>
        <w:t>Modern trade — led initiative across the region.</w:t>
      </w:r>
    </w:p>
    <w:p>
      <w:r>
        <w:rPr>
          <w:b/>
        </w:rPr>
        <w:t>Wismilak</w:t>
      </w:r>
      <w:r>
        <w:t xml:space="preserve">   ·   Senior Trade Marketing &amp; Distribution Manager   ·   2016 – 2022</w:t>
      </w:r>
    </w:p>
    <w:p>
      <w:pPr>
        <w:pStyle w:val="ListBullet"/>
      </w:pPr>
      <w:r>
        <w:t>Brand activation — owned delivery for project portfolio.</w:t>
      </w:r>
    </w:p>
    <w:p>
      <w:pPr>
        <w:pStyle w:val="ListBullet"/>
      </w:pPr>
      <w:r>
        <w:t>Fmcg distribution — owned delivery for project portfolio.</w:t>
      </w:r>
    </w:p>
    <w:p>
      <w:pPr>
        <w:pStyle w:val="Heading1"/>
      </w:pPr>
      <w:r>
        <w:t>Skills</w:t>
      </w:r>
    </w:p>
    <w:p>
      <w:r>
        <w:t>modern trade, outlet coverage growth, FMCG distribution, brand activation, tobacco regulation (PP 109/2012)</w:t>
      </w:r>
    </w:p>
    <w:p>
      <w:pPr>
        <w:pStyle w:val="Heading1"/>
      </w:pPr>
      <w:r>
        <w:t>Certifications</w:t>
      </w:r>
    </w:p>
    <w:p>
      <w:r>
        <w:t>PRINCE2, K3 Migas (BNSP)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