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Indra Sutanto</w:t>
      </w:r>
    </w:p>
    <w:p>
      <w:r>
        <w:t>Trade Marketing &amp; Distribution Manager  ·  15 years experience  ·  Based: Bandung</w:t>
      </w:r>
    </w:p>
    <w:p>
      <w:r>
        <w:t>Email: indra.sutanto@email.com  ·  Mobile: +62-812-3494-9767</w:t>
      </w:r>
    </w:p>
    <w:p>
      <w:pPr>
        <w:pStyle w:val="Heading1"/>
      </w:pPr>
      <w:r>
        <w:t>Professional Summary</w:t>
      </w:r>
    </w:p>
    <w:p>
      <w:r>
        <w:t>15-year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Wismilak</w:t>
      </w:r>
      <w:r>
        <w:t xml:space="preserve">   ·   Trade Marketing &amp; Distribution Manager   ·   2022 – Present</w:t>
      </w:r>
    </w:p>
    <w:p>
      <w:pPr>
        <w:pStyle w:val="ListBullet"/>
      </w:pPr>
      <w:r>
        <w:t>Modern trade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pPr>
        <w:pStyle w:val="ListBullet"/>
      </w:pPr>
      <w:r>
        <w:t>Excise (cht) compliance — led initiative across the region.</w:t>
      </w:r>
    </w:p>
    <w:p>
      <w:r>
        <w:rPr>
          <w:b/>
        </w:rPr>
        <w:t>Nojorono</w:t>
      </w:r>
      <w:r>
        <w:t xml:space="preserve">   ·   Senior Trade Marketing &amp; Distribution Manager   ·   2016 – 2022</w:t>
      </w:r>
    </w:p>
    <w:p>
      <w:pPr>
        <w:pStyle w:val="ListBullet"/>
      </w:pPr>
      <w:r>
        <w:t>Excise (cht) compliance — owned delivery for project portfolio.</w:t>
      </w:r>
    </w:p>
    <w:p>
      <w:pPr>
        <w:pStyle w:val="ListBullet"/>
      </w:pPr>
      <w:r>
        <w:t>Modern trade — owned delivery for project portfolio.</w:t>
      </w:r>
    </w:p>
    <w:p>
      <w:pPr>
        <w:pStyle w:val="Heading1"/>
      </w:pPr>
      <w:r>
        <w:t>Skills</w:t>
      </w:r>
    </w:p>
    <w:p>
      <w:r>
        <w:t>horeca channel, tobacco regulation (PP 109/2012), excise (CHT) compliance, trade marketing, modern trade</w:t>
      </w:r>
    </w:p>
    <w:p>
      <w:pPr>
        <w:pStyle w:val="Heading1"/>
      </w:pPr>
      <w:r>
        <w:t>Certifications</w:t>
      </w:r>
    </w:p>
    <w:p>
      <w:r>
        <w:t>ISO 45001 Lead Auditor, AK3 Umum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