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AML / CFT Policy — Contoso Trade Sdn Bhd</w:t>
      </w:r>
    </w:p>
    <w:p>
      <w:r>
        <w:t>Document classification: Internal Use Only · Version 4.2 · Effective 1 January 2026</w:t>
      </w:r>
    </w:p>
    <w:p>
      <w:pPr>
        <w:pStyle w:val="Heading1"/>
      </w:pPr>
      <w:r>
        <w:t>1. Purpose</w:t>
      </w:r>
    </w:p>
    <w:p>
      <w:r>
        <w:t>This Policy sets out Contoso Trade's framework for preventing money laundering and the financing of terrorism ("AML/CFT") across our remittance, currency exchange, payments and micro-insurance businesses. It applies to all employees, contractors, and authorised agents.</w:t>
      </w:r>
    </w:p>
    <w:p>
      <w:pPr>
        <w:pStyle w:val="Heading1"/>
      </w:pPr>
      <w:r>
        <w:t>2. Scope</w:t>
      </w:r>
    </w:p>
    <w:p>
      <w:r>
        <w:t>This Policy applies to all branches (KL HQ, Subang, Penang, JB, Kota Kinabalu, Kuching, Ipoh) and to digital channels operated under the HelloSIM and Insure brands.</w:t>
      </w:r>
    </w:p>
    <w:p>
      <w:pPr>
        <w:pStyle w:val="Heading1"/>
      </w:pPr>
      <w:r>
        <w:t>3. Risk-Based Approach</w:t>
      </w:r>
    </w:p>
    <w:p>
      <w:r>
        <w:t>Customer risk is assessed at onboarding using factors including geography, occupation, expected transaction profile, and PEP/sanctions exposure. High-risk customers require Enhanced Due Diligence (EDD) and Senior Compliance approval before onboarding.</w:t>
      </w:r>
    </w:p>
    <w:p>
      <w:pPr>
        <w:pStyle w:val="Heading1"/>
      </w:pPr>
      <w:r>
        <w:t>4. Customer Due Diligence (CDD)</w:t>
      </w:r>
    </w:p>
    <w:p>
      <w:r>
        <w:t>Standard CDD must be performed for all customers and includes: 1) identification using government-issued ID, 2) verification using two independent sources, 3) collection of source-of-funds, and 4) ongoing monitoring of transactions against the customer's stated profile.</w:t>
      </w:r>
    </w:p>
    <w:p>
      <w:pPr>
        <w:pStyle w:val="Heading1"/>
      </w:pPr>
      <w:r>
        <w:t>5. Red Flags for Frontline Staff</w:t>
      </w:r>
    </w:p>
    <w:p>
      <w:pPr>
        <w:pStyle w:val="ListBullet"/>
      </w:pPr>
      <w:r>
        <w:t>Multiple remittances split below RM 3,000 to the same beneficiary (structuring).</w:t>
      </w:r>
    </w:p>
    <w:p>
      <w:pPr>
        <w:pStyle w:val="ListBullet"/>
      </w:pPr>
      <w:r>
        <w:t>Customer reluctant to provide ID or stated occupation seems inconsistent with transaction value.</w:t>
      </w:r>
    </w:p>
    <w:p>
      <w:pPr>
        <w:pStyle w:val="ListBullet"/>
      </w:pPr>
      <w:r>
        <w:t>Customer uses cash in unusual denominations or insists on third-party payments.</w:t>
      </w:r>
    </w:p>
    <w:p>
      <w:pPr>
        <w:pStyle w:val="ListBullet"/>
      </w:pPr>
      <w:r>
        <w:t>Funds received from a high-risk jurisdiction with no clear commercial purpose.</w:t>
      </w:r>
    </w:p>
    <w:p>
      <w:pPr>
        <w:pStyle w:val="ListBullet"/>
      </w:pPr>
      <w:r>
        <w:t>Beneficiary mismatch between sender's stated relationship and account holder name.</w:t>
      </w:r>
    </w:p>
    <w:p>
      <w:pPr>
        <w:pStyle w:val="ListBullet"/>
      </w:pPr>
      <w:r>
        <w:t>Frequent changes to recipient details after the transaction is initiated.</w:t>
      </w:r>
    </w:p>
    <w:p>
      <w:pPr>
        <w:pStyle w:val="Heading1"/>
      </w:pPr>
      <w:r>
        <w:t>6. Reporting Obligations</w:t>
      </w:r>
    </w:p>
    <w:p>
      <w:r>
        <w:t>Suspicious Transaction Reports (STR) must be filed via the internal STR portal within 24 hours of detection and escalated to the Money Laundering Reporting Officer (MLRO). Threshold reports are filed to BNM in accordance with AMLA 2001.</w:t>
      </w:r>
    </w:p>
    <w:p>
      <w:pPr>
        <w:pStyle w:val="Heading1"/>
      </w:pPr>
      <w:r>
        <w:t>7. Training &amp; Competency</w:t>
      </w:r>
    </w:p>
    <w:p>
      <w:r>
        <w:t>All employees complete annual AML refresher training. Frontliners and Compliance staff complete role-specific modules including this AML Red Flags module.</w:t>
      </w:r>
    </w:p>
    <w:p>
      <w:pPr>
        <w:pStyle w:val="Heading1"/>
      </w:pPr>
      <w:r>
        <w:t>8. Sanctions Screening</w:t>
      </w:r>
    </w:p>
    <w:p>
      <w:r>
        <w:t>All counterparties are screened against the UN, OFAC, EU, MOHA and BNM sanctions lists at onboarding and on every transaction.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