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AML / CFT Policy — Contoso Trade Sdn Bhd</w:t>
      </w:r>
    </w:p>
    <w:p>
      <w:r>
        <w:rPr>
          <w:b/>
        </w:rPr>
        <w:t xml:space="preserve">Document classification: </w:t>
      </w:r>
      <w:r>
        <w:t xml:space="preserve">Internal Use Only · </w:t>
      </w:r>
      <w:r>
        <w:rPr>
          <w:b/>
        </w:rPr>
        <w:t xml:space="preserve">Version: </w:t>
      </w:r>
      <w:r>
        <w:t xml:space="preserve">4.2 · </w:t>
      </w:r>
      <w:r>
        <w:rPr>
          <w:b/>
        </w:rPr>
        <w:t xml:space="preserve">Effective: </w:t>
      </w:r>
      <w:r>
        <w:t xml:space="preserve">1 January 2026 · </w:t>
      </w:r>
      <w:r>
        <w:rPr>
          <w:b/>
        </w:rPr>
        <w:t xml:space="preserve">Owner: </w:t>
      </w:r>
      <w:r>
        <w:t xml:space="preserve">Head of Compliance · </w:t>
      </w:r>
      <w:r>
        <w:rPr>
          <w:b/>
        </w:rPr>
        <w:t xml:space="preserve">Approved by: </w:t>
      </w:r>
      <w:r>
        <w:t>Board Risk &amp; Compliance Committee</w:t>
      </w:r>
    </w:p>
    <w:p>
      <w:r>
        <w:t>Supersedes: v4.1 (1 January 2025). Material changes are summarised in Annex A.</w:t>
      </w:r>
    </w:p>
    <w:p>
      <w:pPr>
        <w:pStyle w:val="Heading1"/>
      </w:pPr>
      <w:r>
        <w:t>1. Purpose &amp; Regulatory Basis</w:t>
      </w:r>
    </w:p>
    <w:p>
      <w:r>
        <w:t>This Policy sets out Contoso Trade Sdn Bhd's framework for the prevention, detection and reporting of money laundering, terrorism financing and proliferation financing ("AML/CFT/CPF"). It is issued under the Anti-Money Laundering, Anti-Terrorism Financing and Proceeds of Unlawful Activities Act 2001 ("AMLA"), Bank Negara Malaysia ("BNM") AML/CFT and Targeted Financial Sanctions Policy Document (PD AML/CFT 2024), and the FATF 40 Recommendations. Contoso Trade is licensed by BNM under the Money Services Business Act 2011 (Class A — remittance, money-changing and wholesale currency).</w:t>
      </w:r>
    </w:p>
    <w:p>
      <w:pPr>
        <w:pStyle w:val="Heading1"/>
      </w:pPr>
      <w:r>
        <w:t>2. Scope &amp; Applicability</w:t>
      </w:r>
    </w:p>
    <w:p>
      <w:r>
        <w:t>This Policy applies to every Director, employee, contractor, agent, intern and authorised representative of Contoso Trade across Malaysia, irrespective of branch, grade, function or employment type. It covers all customer relationships, transactions, products, channels (counter, agent, online, app) and jurisdictions. The Compliance Department is the policy owner. All Heads of Department are accountable for adherence within their function. Breach of this Policy may be treated as gross misconduct under Section 9 of the Employee Handbook and may attract personal liability under AMLA.</w:t>
      </w:r>
    </w:p>
    <w:p>
      <w:pPr>
        <w:pStyle w:val="Heading1"/>
      </w:pPr>
      <w:r>
        <w:t>3. Governance</w:t>
      </w:r>
    </w:p>
    <w:p>
      <w:r>
        <w:t>Three-lines-of-defence model: (1) Branch Operations and Customer Service own day-to-day customer due diligence and transaction monitoring at the front line; (2) Compliance Department owns AML/CFT policy, transaction-monitoring rule design, STR filing and BNM liaison; (3) Internal Audit independently assures the framework annually. The Compliance Officer is the designated Money Laundering Reporting Officer ("MLRO") for AMLA reporting purposes. The Board Risk &amp; Compliance Committee receives a quarterly AML/CFT report.</w:t>
      </w:r>
    </w:p>
    <w:p>
      <w:pPr>
        <w:pStyle w:val="Heading1"/>
      </w:pPr>
      <w:r>
        <w:t>4. Risk-Based Approach</w:t>
      </w:r>
    </w:p>
    <w:p>
      <w:r>
        <w:t>Contoso Trade adopts an enterprise-wide AML risk assessment refreshed annually. Customers are tiered into three risk bands: Low (Tier 1), Medium (Tier 2), High (Tier 3). Tiering considers customer profile (Politically Exposed Persons, beneficial ownership opacity), product (cash-intensive remittance to higher-risk jurisdictions), geography (FATF grey- and black-listed jurisdictions; identified higher-risk corridors), and channel (non-face-to-face onboarding). Tier 3 customers require Enhanced Due Diligence ("EDD") and senior management approval at onboarding and at every annual review.</w:t>
      </w:r>
    </w:p>
    <w:p>
      <w:pPr>
        <w:pStyle w:val="Heading1"/>
      </w:pPr>
      <w:r>
        <w:t>5. Customer Due Diligence (CDD)</w:t>
      </w:r>
    </w:p>
    <w:p>
      <w:r>
        <w:t>CDD must be performed at: (a) onboarding, (b) any single transaction or linked transactions equal to or exceeding RM 3,000 (remittance) or RM 5,000 (money-changing), (c) any wire transfer regardless of amount, (d) when there is a suspicion of money laundering / terrorism financing, and (e) when there is doubt as to the veracity of previously obtained data. Required identifiers: full name, NRIC / passport, date of birth, residential address, occupation, source of funds, and purpose of transaction. For corporate customers add: certificate of incorporation, board resolution, beneficial-owner verification down to 25% ownership threshold, and senior management identification.</w:t>
      </w:r>
    </w:p>
    <w:p>
      <w:pPr>
        <w:pStyle w:val="Heading1"/>
      </w:pPr>
      <w:r>
        <w:t>6. Enhanced Due Diligence (EDD)</w:t>
      </w:r>
    </w:p>
    <w:p>
      <w:r>
        <w:t>EDD applies to all Tier 3 customers, all PEPs and their close associates, all customers from FATF higher-risk jurisdictions, and any customer whose transaction profile triggers EDD review. Minimum EDD steps: (i) source-of-wealth corroboration with documentary evidence (e.g., audited accounts, payslips, sale-of-asset receipts), (ii) adverse-media screening (LexisNexis or equivalent) refreshed at least annually, (iii) Compliance Officer approval before onboarding, (iv) ongoing monitoring at heightened frequency (minimum quarterly transaction review), (v) Senior Management notification of any material change in risk profile.</w:t>
      </w:r>
    </w:p>
    <w:p>
      <w:pPr>
        <w:pStyle w:val="Heading1"/>
      </w:pPr>
      <w:r>
        <w:t>7. Transaction Monitoring</w:t>
      </w:r>
    </w:p>
    <w:p>
      <w:r>
        <w:t>All transactions are subject to automated monitoring against the rule library maintained by Compliance. Standard rules include: cash-equivalent thresholds, structured transactions (multiple sub-threshold transactions in 24 hours), unusual corridor activity, velocity changes, sanctions-list screening at every transaction, and PEP exposure. Alerts are triaged within 2 working days. Rules are reviewed quarterly and after every BNM thematic publication. Manual escalations from branch staff are equally weighted.</w:t>
      </w:r>
    </w:p>
    <w:p>
      <w:pPr>
        <w:pStyle w:val="Heading1"/>
      </w:pPr>
      <w:r>
        <w:t>8. Suspicious Transaction Reporting (STR)</w:t>
      </w:r>
    </w:p>
    <w:p>
      <w:r>
        <w:t>When suspicion is formed, the staff member must escalate to the MLRO within 24 hours via the AML Internal Escalation Form. The MLRO must determine whether to file an STR with the Financial Intelligence and Enforcement Department (FIED) of BNM. STRs are filed via the FIED secure portal. The customer must NOT be informed ("no tipping-off") — wilful tipping-off is a criminal offence under Section 35 AMLA carrying a fine of up to RM 3 million and / or imprisonment up to 5 years. STR filings, the rationale and supporting evidence are retained for at least 6 years.</w:t>
      </w:r>
    </w:p>
    <w:p>
      <w:pPr>
        <w:pStyle w:val="Heading1"/>
      </w:pPr>
      <w:r>
        <w:t>9. Sanctions Screening</w:t>
      </w:r>
    </w:p>
    <w:p>
      <w:r>
        <w:t>Real-time screening is performed against: UNSCR consolidated list, US OFAC SDN list, EU consolidated list, UK HMT, and the Ministry of Home Affairs (KDN) Domestic List. Hits are processed by the Sanctions Desk within Compliance with a 4-eye review. True positives result in immediate transaction freeze and reporting under the Strategic Trade Act 2010. False positives are documented with the rationale.</w:t>
      </w:r>
    </w:p>
    <w:p>
      <w:pPr>
        <w:pStyle w:val="Heading1"/>
      </w:pPr>
      <w:r>
        <w:t>10. Record Keeping</w:t>
      </w:r>
    </w:p>
    <w:p>
      <w:r>
        <w:t>All CDD records, transaction records, STR working papers and training records must be retained for a minimum of 6 years from the end of the customer relationship or completion of the transaction, whichever is later, in line with Section 17 AMLA. Records must be readily retrievable for BNM examination.</w:t>
      </w:r>
    </w:p>
    <w:p>
      <w:pPr>
        <w:pStyle w:val="Heading1"/>
      </w:pPr>
      <w:r>
        <w:t>11. Training &amp; Awareness</w:t>
      </w:r>
    </w:p>
    <w:p>
      <w:r>
        <w:t>All employees complete AML/CFT induction within 30 days of joining and a mandatory annual AMLA Refresher (4 hours, e-learning + workshop). Compliance, Risk and Branch Manager grades complete an additional 8-hour annual deep-dive. Customer-facing staff in branch operations complete a quarterly micro-learning module covering newly observed typologies (e.g., mule networks, trade-based ML, virtual-asset on/off-ramps). Training completion is tracked in the LMS; managers are accountable for 100% completion in their team.</w:t>
      </w:r>
    </w:p>
    <w:p>
      <w:pPr>
        <w:pStyle w:val="Heading1"/>
      </w:pPr>
      <w:r>
        <w:t>12. Breach Management &amp; Disciplinary</w:t>
      </w:r>
    </w:p>
    <w:p>
      <w:r>
        <w:t>AML breaches are categorised by severity: P1 (potential criminal exposure, mandatory STR delay or tipping-off) → summary dismissal under Section 14 of the Employment Act 1955 read with Section 9.4 of the Employee Handbook; P2 (CDD shortfall, missed escalation, sanctions hit mishandled) → Show-Cause and possible Domestic Inquiry; P3 (process lapse, training overdue) → written warning. All breaches are logged in the Disciplinary register and reviewed monthly by the Compliance Council.</w:t>
      </w:r>
    </w:p>
    <w:p>
      <w:pPr>
        <w:pStyle w:val="Heading1"/>
      </w:pPr>
      <w:r>
        <w:t>Annex A — Material changes from v4.1 to v4.2</w:t>
      </w:r>
    </w:p>
    <w:p>
      <w:pPr>
        <w:pStyle w:val="ListBullet"/>
      </w:pPr>
      <w:r>
        <w:t>Tightened EDD thresholds for non-face-to-face onboarding via the Contoso Trade mobile app.</w:t>
      </w:r>
    </w:p>
    <w:p>
      <w:pPr>
        <w:pStyle w:val="ListBullet"/>
      </w:pPr>
      <w:r>
        <w:t>Added explicit virtual-asset on/off-ramp typology to Section 11 micro-learning.</w:t>
      </w:r>
    </w:p>
    <w:p>
      <w:pPr>
        <w:pStyle w:val="ListBullet"/>
      </w:pPr>
      <w:r>
        <w:t>Expanded sanctions screening to include the KDN Domestic List effective Q4 2025.</w:t>
      </w:r>
    </w:p>
    <w:p>
      <w:pPr>
        <w:pStyle w:val="ListBullet"/>
      </w:pPr>
      <w:r>
        <w:t>Re-articulated Section 8 to make the 24-hour escalation deadline binding (previously 'as soon as practicable').</w:t>
      </w:r>
    </w:p>
    <w:p>
      <w:pPr>
        <w:pStyle w:val="ListBullet"/>
      </w:pPr>
      <w:r>
        <w:t>Aligned breach categorisation in Section 12 with the revised Employee Handbook v3.1 disciplinary procedure.</w:t>
      </w:r>
    </w:p>
    <w:p>
      <w:pPr>
        <w:pStyle w:val="Heading1"/>
      </w:pPr>
      <w:r>
        <w:t>Annex B — Definitions</w:t>
      </w:r>
    </w:p>
    <w:p>
      <w:r>
        <w:rPr>
          <w:b/>
        </w:rPr>
        <w:t xml:space="preserve">PEP: </w:t>
      </w:r>
      <w:r>
        <w:t>A Politically Exposed Person — an individual who is or has been entrusted with a prominent public function, and their immediate family / close associates.</w:t>
      </w:r>
    </w:p>
    <w:p>
      <w:r>
        <w:rPr>
          <w:b/>
        </w:rPr>
        <w:t xml:space="preserve">STR: </w:t>
      </w:r>
      <w:r>
        <w:t>Suspicious Transaction Report filed under Section 14 AMLA via the BNM FIED portal.</w:t>
      </w:r>
    </w:p>
    <w:p>
      <w:r>
        <w:rPr>
          <w:b/>
        </w:rPr>
        <w:t xml:space="preserve">Beneficial Owner: </w:t>
      </w:r>
      <w:r>
        <w:t>The natural person who ultimately owns or controls a customer or on whose behalf a transaction is being conducted, per FATF Recommendation 24.</w:t>
      </w:r>
    </w:p>
    <w:p>
      <w:r>
        <w:rPr>
          <w:b/>
        </w:rPr>
        <w:t xml:space="preserve">MLRO: </w:t>
      </w:r>
      <w:r>
        <w:t>Money Laundering Reporting Officer — designated under Section 19(4) AMLA.</w:t>
      </w:r>
    </w:p>
    <w:p>
      <w:r>
        <w:rPr>
          <w:b/>
        </w:rPr>
        <w:t xml:space="preserve">CTF: </w:t>
      </w:r>
      <w:r>
        <w:t>Counter-Terrorism Financing.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