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Trade Sdn Bhd — Employee Handbook (v3.1, excerpt)</w:t>
      </w:r>
    </w:p>
    <w:p>
      <w:r>
        <w:t>Effective: 1 January 2026. Approved by HR Council. Supersedes v3.0 (Jan 2024). This excerpt covers the sections most frequently referenced by HR and line managers. The full handbook (28 sections) is on the People SharePoint site.</w:t>
      </w:r>
    </w:p>
    <w:p>
      <w:pPr>
        <w:pStyle w:val="Heading1"/>
      </w:pPr>
      <w:r>
        <w:t>Section 1 — Employment Basis &amp; Probation</w:t>
      </w:r>
    </w:p>
    <w:p>
      <w:r>
        <w:rPr>
          <w:b/>
        </w:rPr>
        <w:t xml:space="preserve">1.1 Employment Type: </w:t>
      </w:r>
      <w:r>
        <w:t>All offers are made on a confirmed-staff basis after a 3-month probationary period (6 months for Grade M3 and above). Fixed-term contracts are used only for project-based engagements and are limited to 12 months unless renewed by HR Council exception.</w:t>
      </w:r>
    </w:p>
    <w:p>
      <w:r>
        <w:rPr>
          <w:b/>
        </w:rPr>
        <w:t xml:space="preserve">1.2 Probation Outcome: </w:t>
      </w:r>
      <w:r>
        <w:t>At the end of probation, the line manager and HR Business Partner (HRBP) jointly review performance against agreed onboarding milestones. Outcome is one of: confirmation, extension by up to 3 months, or non-confirmation with the standard 24-hour notice.</w:t>
      </w:r>
    </w:p>
    <w:p>
      <w:pPr>
        <w:pStyle w:val="Heading1"/>
      </w:pPr>
      <w:r>
        <w:t>Section 4 — Working Hours, Overtime &amp; Time-Off-In-Lieu</w:t>
      </w:r>
    </w:p>
    <w:p>
      <w:r>
        <w:rPr>
          <w:b/>
        </w:rPr>
        <w:t xml:space="preserve">4.1 Standard Hours: </w:t>
      </w:r>
      <w:r>
        <w:t>Branch operations: 9.00am – 6.00pm with a 1-hour lunch, six days a week (Sat half-day rostered). KL HQ functions: 9.00am – 6.00pm Mon–Fri.</w:t>
      </w:r>
    </w:p>
    <w:p>
      <w:r>
        <w:rPr>
          <w:b/>
        </w:rPr>
        <w:t xml:space="preserve">4.2 Overtime Eligibility: </w:t>
      </w:r>
      <w:r>
        <w:t>Per the Employment Act 1955, OT applies to staff earning ≤ RM 4,000 / month. Rates: 1.5x normal, 2x rest day, 3x public holiday. Above-threshold staff may claim Time-Off-In-Lieu (TOIL) at 1:1, capped at 8 days per year.</w:t>
      </w:r>
    </w:p>
    <w:p>
      <w:r>
        <w:rPr>
          <w:b/>
        </w:rPr>
        <w:t xml:space="preserve">4.3 OT Approval: </w:t>
      </w:r>
      <w:r>
        <w:t>All OT must be pre-approved by the line manager and recorded in Adrenalin within 24 hours of completion. Unapproved OT is not payable. Branch Managers are accountable for keeping branch OT within the monthly cap (Section 4.4).</w:t>
      </w:r>
    </w:p>
    <w:p>
      <w:r>
        <w:rPr>
          <w:b/>
        </w:rPr>
        <w:t xml:space="preserve">4.4 OT Cap: </w:t>
      </w:r>
      <w:r>
        <w:t>Statutory cap is 104 hours / month per employee (Employment Act). Internal policy cap is 60 hours / month — exceptions require Head of Branch Operations approval.</w:t>
      </w:r>
    </w:p>
    <w:p>
      <w:pPr>
        <w:pStyle w:val="Heading1"/>
      </w:pPr>
      <w:r>
        <w:t>Section 7 — Code of Conduct</w:t>
      </w:r>
    </w:p>
    <w:p>
      <w:r>
        <w:rPr>
          <w:b/>
        </w:rPr>
        <w:t xml:space="preserve">7.1 Confidentiality: </w:t>
      </w:r>
      <w:r>
        <w:t>Employees must not disclose customer transaction data, KYC information, or any system access credentials to any unauthorised party. This obligation survives the termination of employment indefinitely.</w:t>
      </w:r>
    </w:p>
    <w:p>
      <w:r>
        <w:rPr>
          <w:b/>
        </w:rPr>
        <w:t xml:space="preserve">7.2 Conflict of Interest: </w:t>
      </w:r>
      <w:r>
        <w:t>Employees must declare any related-party transactions or outside business interests (including directorships and shareholdings &gt;5%) that could conflict with Contoso Trade's remittance, FX or payments business. Annual declarations are mandatory.</w:t>
      </w:r>
    </w:p>
    <w:p>
      <w:r>
        <w:rPr>
          <w:b/>
        </w:rPr>
        <w:t xml:space="preserve">7.3 Anti-Bribery &amp; Gifts: </w:t>
      </w:r>
      <w:r>
        <w:t>No employee may solicit or accept gifts, entertainment, or facilitation payments above RM 200 in aggregate per calendar year from any customer, agent, or counterparty. All gifts above RM 50 must be declared in the Gift Register.</w:t>
      </w:r>
    </w:p>
    <w:p>
      <w:r>
        <w:rPr>
          <w:b/>
        </w:rPr>
        <w:t xml:space="preserve">7.4 Information Security: </w:t>
      </w:r>
      <w:r>
        <w:t>Sharing customer data via personal email, WhatsApp, USB drives, or unauthorised cloud storage is a serious misconduct. Use of personal devices for work is permitted only via the Mobile Device Management (MDM) profile.</w:t>
      </w:r>
    </w:p>
    <w:p>
      <w:r>
        <w:rPr>
          <w:b/>
        </w:rPr>
        <w:t xml:space="preserve">7.5 AML Obligations: </w:t>
      </w:r>
      <w:r>
        <w:t>Wilful failure to report a suspicious transaction, tipping-off a customer, or bypassing KYC controls is gross misconduct under AMLA 2001 and grounds for summary dismissal under Section 14 of the Employment Act 1955.</w:t>
      </w:r>
    </w:p>
    <w:p>
      <w:r>
        <w:rPr>
          <w:b/>
        </w:rPr>
        <w:t xml:space="preserve">7.6 Anti-Harassment: </w:t>
      </w:r>
      <w:r>
        <w:t>Contoso Trade has a zero-tolerance position on sexual harassment, bullying and discrimination. The Anti-Sexual Harassment Act 2022 framework applies. Complaints are handled by the Independent Harassment Panel (HR + Legal + an external member).</w:t>
      </w:r>
    </w:p>
    <w:p>
      <w:pPr>
        <w:pStyle w:val="Heading1"/>
      </w:pPr>
      <w:r>
        <w:t>Section 8 — Leave Entitlement</w:t>
      </w:r>
    </w:p>
    <w:p>
      <w:r>
        <w:rPr>
          <w:b/>
        </w:rPr>
        <w:t xml:space="preserve">8.1 Annual Leave: </w:t>
      </w:r>
      <w:r>
        <w:t>Confirmed staff: 14 days (≤2 yrs service), 18 days (3–5 yrs), 21 days (&gt;5 yrs). Pro-rated in joining year. Carry-forward up to 7 days, must be cleared by Q1 of the following year.</w:t>
      </w:r>
    </w:p>
    <w:p>
      <w:r>
        <w:rPr>
          <w:b/>
        </w:rPr>
        <w:t xml:space="preserve">8.2 Medical Leave: </w:t>
      </w:r>
      <w:r>
        <w:t>14 / 18 / 22 days per Employment Act tenure scale, with hospitalisation up to 60 days where applicable. MC must be from a registered medical practitioner.</w:t>
      </w:r>
    </w:p>
    <w:p>
      <w:r>
        <w:rPr>
          <w:b/>
        </w:rPr>
        <w:t xml:space="preserve">8.3 Other Leave: </w:t>
      </w:r>
      <w:r>
        <w:t>Compassionate (3 days), Marriage (3 days), Paternity (7 days), Maternity (98 days per Employment Act 2022 amendments), Examination (5 days for company-approved courses).</w:t>
      </w:r>
    </w:p>
    <w:p>
      <w:pPr>
        <w:pStyle w:val="Heading1"/>
      </w:pPr>
      <w:r>
        <w:t>Section 9 — Disciplinary Procedure</w:t>
      </w:r>
    </w:p>
    <w:p>
      <w:r>
        <w:rPr>
          <w:b/>
        </w:rPr>
        <w:t xml:space="preserve">9.1 Verbal Counselling: </w:t>
      </w:r>
      <w:r>
        <w:t>First-instance minor lapse. Documented in employee file. No copy on personnel record after 6 months if no recurrence.</w:t>
      </w:r>
    </w:p>
    <w:p>
      <w:r>
        <w:rPr>
          <w:b/>
        </w:rPr>
        <w:t xml:space="preserve">9.2 Written Warning: </w:t>
      </w:r>
      <w:r>
        <w:t>For repeat minor lapses or first-instance moderate misconduct. Valid for 12 months. A second valid warning may escalate the matter to Show-Cause.</w:t>
      </w:r>
    </w:p>
    <w:p>
      <w:r>
        <w:rPr>
          <w:b/>
        </w:rPr>
        <w:t xml:space="preserve">9.3 Show-Cause Letter: </w:t>
      </w:r>
      <w:r>
        <w:t>Issued for serious or gross misconduct. Employee has 3 working days to respond in writing. Suspension on full pay may apply pending domestic inquiry.</w:t>
      </w:r>
    </w:p>
    <w:p>
      <w:r>
        <w:rPr>
          <w:b/>
        </w:rPr>
        <w:t xml:space="preserve">9.4 Domestic Inquiry &amp; Outcome: </w:t>
      </w:r>
      <w:r>
        <w:t>Conducted by an independent panel of three (one from HR, one from a peer business unit, one external observer where the matter is grave). Outcomes: (a) exonerate, (b) final written warning, (c) demotion, (d) dismissal with notice, (e) summary dismissal. The employee may be represented and may call witnesses.</w:t>
      </w:r>
    </w:p>
    <w:p>
      <w:r>
        <w:rPr>
          <w:b/>
        </w:rPr>
        <w:t xml:space="preserve">9.5 Appeal: </w:t>
      </w:r>
      <w:r>
        <w:t>Within 7 working days of the inquiry outcome, the employee may appeal in writing to the CEO. The appeal panel is constituted independently of the original panel.</w:t>
      </w:r>
    </w:p>
    <w:p>
      <w:pPr>
        <w:pStyle w:val="Heading1"/>
      </w:pPr>
      <w:r>
        <w:t>Section 11 — Resignation &amp; Off-boarding</w:t>
      </w:r>
    </w:p>
    <w:p>
      <w:r>
        <w:rPr>
          <w:b/>
        </w:rPr>
        <w:t xml:space="preserve">11.1 Notice Period: </w:t>
      </w:r>
      <w:r>
        <w:t>Confirmed staff: 1 month (Grades G1–G2), 2 months (Grades M1–M2), 3 months (Grades M3 and above). Probationers: 24 hours.</w:t>
      </w:r>
    </w:p>
    <w:p>
      <w:r>
        <w:rPr>
          <w:b/>
        </w:rPr>
        <w:t xml:space="preserve">11.2 Buyout in Lieu of Notice: </w:t>
      </w:r>
      <w:r>
        <w:t>Permitted at the company's sole discretion. Buyout is computed at last drawn basic ÷ working days × shortfall days.</w:t>
      </w:r>
    </w:p>
    <w:p>
      <w:r>
        <w:rPr>
          <w:b/>
        </w:rPr>
        <w:t xml:space="preserve">11.3 Final Pay &amp; Leave: </w:t>
      </w:r>
      <w:r>
        <w:t>Final pay including prorated annual leave is released within 30 days of last working day. Unused MC is not encashable.</w:t>
      </w:r>
    </w:p>
    <w:p>
      <w:r>
        <w:rPr>
          <w:b/>
        </w:rPr>
        <w:t xml:space="preserve">11.4 Asset Return: </w:t>
      </w:r>
      <w:r>
        <w:t>Laptop, security token, access cards, uniform, mobile SIM and any company-issued equipment must be returned on or before last working day. Any unrecovered asset is deducted from final pay at depreciated book value.</w:t>
      </w:r>
    </w:p>
    <w:p>
      <w:r>
        <w:rPr>
          <w:b/>
        </w:rPr>
        <w:t xml:space="preserve">11.5 Exit Interview: </w:t>
      </w:r>
      <w:r>
        <w:t>Mandatory for all confirmed staff. Conducted by HRBP; outcomes feed into the quarterly retention review and the Voice of Employee dashboard.</w:t>
      </w:r>
    </w:p>
    <w:p>
      <w:r>
        <w:rPr>
          <w:b/>
        </w:rPr>
        <w:t xml:space="preserve">11.6 Restrictive Covenants: </w:t>
      </w:r>
      <w:r>
        <w:t>Compliance, Risk and IT staff are bound by a 6-month non-compete covering directly competing remittance / MSB licensees in Malaysia. Non-solicitation of customers and staff applies for 12 months across all functions.</w:t>
      </w:r>
    </w:p>
    <w:p>
      <w:r>
        <w:rPr>
          <w:b/>
        </w:rPr>
        <w:t xml:space="preserve">11.7 Reference Letters: </w:t>
      </w:r>
      <w:r>
        <w:t>On request, HR will issue a Certificate of Service (factual) within 5 working days. Substantive reference letters are at the discretion of the line manager.</w:t>
      </w:r>
    </w:p>
    <w:p>
      <w:pPr>
        <w:pStyle w:val="Heading1"/>
      </w:pPr>
      <w:r>
        <w:t>Section 13 — Welfare &amp; Hardship Support</w:t>
      </w:r>
    </w:p>
    <w:p>
      <w:r>
        <w:rPr>
          <w:b/>
        </w:rPr>
        <w:t xml:space="preserve">13.1 Hospitalisation Support: </w:t>
      </w:r>
      <w:r>
        <w:t>Up to RM 5,000 per incident for confirmed staff with ≥6 months tenure. Requires hospital bill and medical certificate.</w:t>
      </w:r>
    </w:p>
    <w:p>
      <w:r>
        <w:rPr>
          <w:b/>
        </w:rPr>
        <w:t xml:space="preserve">13.2 Bereavement (Family): </w:t>
      </w:r>
      <w:r>
        <w:t>Up to RM 2,000 for the loss of spouse, child, parent or sibling. Requires death certificate.</w:t>
      </w:r>
    </w:p>
    <w:p>
      <w:r>
        <w:rPr>
          <w:b/>
        </w:rPr>
        <w:t xml:space="preserve">13.3 Marriage Gift: </w:t>
      </w:r>
      <w:r>
        <w:t>RM 1,500 per first marriage during employment, ≥12 months tenure.</w:t>
      </w:r>
    </w:p>
    <w:p>
      <w:r>
        <w:rPr>
          <w:b/>
        </w:rPr>
        <w:t xml:space="preserve">13.4 Newborn Gift: </w:t>
      </w:r>
      <w:r>
        <w:t>RM 800 per newborn. Up to 4 children per family.</w:t>
      </w:r>
    </w:p>
    <w:p>
      <w:r>
        <w:rPr>
          <w:b/>
        </w:rPr>
        <w:t xml:space="preserve">13.5 Application: </w:t>
      </w:r>
      <w:r>
        <w:t>Submit via the Welfare Application form on the People portal within 60 days of the qualifying event. HR Welfare Council reviews fortnightly.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