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Job Description — Senior Compliance Officer (AML/CFT)</w:t>
      </w:r>
    </w:p>
    <w:p>
      <w:r>
        <w:rPr>
          <w:b/>
        </w:rPr>
        <w:t xml:space="preserve">Department: </w:t>
      </w:r>
      <w:r>
        <w:t xml:space="preserve">Compliance &amp; Risk · </w:t>
      </w:r>
      <w:r>
        <w:rPr>
          <w:b/>
        </w:rPr>
        <w:t xml:space="preserve">Reports to: </w:t>
      </w:r>
      <w:r>
        <w:t xml:space="preserve">Head of Compliance · </w:t>
      </w:r>
      <w:r>
        <w:rPr>
          <w:b/>
        </w:rPr>
        <w:t xml:space="preserve">Location: </w:t>
      </w:r>
      <w:r>
        <w:t xml:space="preserve">KL HQ (hybrid) · </w:t>
      </w:r>
      <w:r>
        <w:rPr>
          <w:b/>
        </w:rPr>
        <w:t xml:space="preserve">Grade: </w:t>
      </w:r>
      <w:r>
        <w:t>M3</w:t>
      </w:r>
    </w:p>
    <w:p>
      <w:pPr>
        <w:pStyle w:val="Heading1"/>
      </w:pPr>
      <w:r>
        <w:t>Role Purpose</w:t>
      </w:r>
    </w:p>
    <w:p>
      <w:r>
        <w:t>Contoso Trade is a licensed remittance and money-services business regulated by Bank Negara Malaysia (BNM) under the Money Services Business Act 2011 and AMLA 2001. The Senior Compliance Officer leads day-to-day AML/CFT operations across our 7-branch network and digital channels, ensuring all customer onboarding, transaction monitoring, and suspicious-activity reporting meet regulatory expectations.</w:t>
      </w:r>
    </w:p>
    <w:p>
      <w:pPr>
        <w:pStyle w:val="Heading1"/>
      </w:pPr>
      <w:r>
        <w:t>Key Responsibilities</w:t>
      </w:r>
    </w:p>
    <w:p>
      <w:pPr>
        <w:pStyle w:val="ListBullet"/>
      </w:pPr>
      <w:r>
        <w:t>Lead transaction-monitoring case reviews and produce STRs to BNM within statutory deadlines.</w:t>
      </w:r>
    </w:p>
    <w:p>
      <w:pPr>
        <w:pStyle w:val="ListBullet"/>
      </w:pPr>
      <w:r>
        <w:t>Conduct enhanced due diligence (EDD) on high-risk customers and PEPs.</w:t>
      </w:r>
    </w:p>
    <w:p>
      <w:pPr>
        <w:pStyle w:val="ListBullet"/>
      </w:pPr>
      <w:r>
        <w:t>Oversee the annual AML risk assessment and refresh the AML Policy (currently v4.2).</w:t>
      </w:r>
    </w:p>
    <w:p>
      <w:pPr>
        <w:pStyle w:val="ListBullet"/>
      </w:pPr>
      <w:r>
        <w:t>Liaise with BNM examiners during on-site inspections and respond to thematic reviews.</w:t>
      </w:r>
    </w:p>
    <w:p>
      <w:pPr>
        <w:pStyle w:val="ListBullet"/>
      </w:pPr>
      <w:r>
        <w:t>Coach branch operations teams on red-flag detection and CDD/KYC quality.</w:t>
      </w:r>
    </w:p>
    <w:p>
      <w:pPr>
        <w:pStyle w:val="ListBullet"/>
      </w:pPr>
      <w:r>
        <w:t>Own the AML training calendar and ensure 100% completion among customer-facing staff.</w:t>
      </w:r>
    </w:p>
    <w:p>
      <w:pPr>
        <w:pStyle w:val="ListBullet"/>
      </w:pPr>
      <w:r>
        <w:t>Drive enhancements to our transaction-monitoring rule library based on emerging typologies (mule networks, trade-based ML, crypto on/off-ramps).</w:t>
      </w:r>
    </w:p>
    <w:p>
      <w:pPr>
        <w:pStyle w:val="Heading1"/>
      </w:pPr>
      <w:r>
        <w:t>Mandatory Requirements</w:t>
      </w:r>
    </w:p>
    <w:p>
      <w:pPr>
        <w:pStyle w:val="ListBullet"/>
      </w:pPr>
      <w:r>
        <w:t>Bachelor's degree in Law, Finance, Business or related discipline.</w:t>
      </w:r>
    </w:p>
    <w:p>
      <w:pPr>
        <w:pStyle w:val="ListBullet"/>
      </w:pPr>
      <w:r>
        <w:t>Minimum 6 years' AML/CFT experience in a financial institution or MSB; at least 2 years in a senior or lead capacity.</w:t>
      </w:r>
    </w:p>
    <w:p>
      <w:pPr>
        <w:pStyle w:val="ListBullet"/>
      </w:pPr>
      <w:r>
        <w:t>Active ICA Diploma in AML or ACAMS certification (mandatory).</w:t>
      </w:r>
    </w:p>
    <w:p>
      <w:pPr>
        <w:pStyle w:val="ListBullet"/>
      </w:pPr>
      <w:r>
        <w:t>Working knowledge of AMLA 2001, BNM AML/CFT Policy Document, FATF 40 Recommendations.</w:t>
      </w:r>
    </w:p>
    <w:p>
      <w:pPr>
        <w:pStyle w:val="ListBullet"/>
      </w:pPr>
      <w:r>
        <w:t>Experience preparing STRs through the FIED portal.</w:t>
      </w:r>
    </w:p>
    <w:p>
      <w:pPr>
        <w:pStyle w:val="ListBullet"/>
      </w:pPr>
      <w:r>
        <w:t>Strong written English and Bahasa Malaysia (regulatory submissions).</w:t>
      </w:r>
    </w:p>
    <w:p>
      <w:pPr>
        <w:pStyle w:val="Heading1"/>
      </w:pPr>
      <w:r>
        <w:t>Preferred</w:t>
      </w:r>
    </w:p>
    <w:p>
      <w:pPr>
        <w:pStyle w:val="ListBullet"/>
      </w:pPr>
      <w:r>
        <w:t>Experience with remittance / cross-border payments / e-money typologies.</w:t>
      </w:r>
    </w:p>
    <w:p>
      <w:pPr>
        <w:pStyle w:val="ListBullet"/>
      </w:pPr>
      <w:r>
        <w:t>Exposure to sanctions screening tools (LexisNexis, Refinitiv World-Check, Dow Jones).</w:t>
      </w:r>
    </w:p>
    <w:p>
      <w:pPr>
        <w:pStyle w:val="ListBullet"/>
      </w:pPr>
      <w:r>
        <w:t>Mandarin or Tamil proficiency (customer-facing branch demographics).</w:t>
      </w:r>
    </w:p>
    <w:p>
      <w:pPr>
        <w:pStyle w:val="Heading1"/>
      </w:pPr>
      <w:r>
        <w:t>Compensation</w:t>
      </w:r>
    </w:p>
    <w:p>
      <w:r>
        <w:t>Indicative range: RM 9,000 – RM 12,500 monthly basic + variable bonus. EPF 13% employer, full medical, hospitalisation, dental, optical. HRDC training budget RM 8,000/year.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