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Contoso Trade Sdn Bhd — Employee Handbook (v3.1, excerpt)</w:t>
      </w:r>
    </w:p>
    <w:p>
      <w:r>
        <w:t>Effective: 1 January 2026. Approved by HR Council. Supersedes v3.0 (Jan 2024).</w:t>
      </w:r>
    </w:p>
    <w:p>
      <w:pPr>
        <w:pStyle w:val="Heading1"/>
      </w:pPr>
      <w:r>
        <w:t>Section 7 — Code of Conduct</w:t>
      </w:r>
    </w:p>
    <w:p>
      <w:r>
        <w:t>All employees, regardless of grade or branch, are bound by the standards set out in this Code. Breaches may result in disciplinary action up to and including dismissal under Section 14 of the Employment Act 1955.</w:t>
      </w:r>
    </w:p>
    <w:p>
      <w:r>
        <w:rPr>
          <w:b/>
        </w:rPr>
        <w:t xml:space="preserve">7.1 Confidentiality: </w:t>
      </w:r>
      <w:r>
        <w:t>Employees must not disclose customer transaction data, KYC information, or any system access credentials to any unauthorised party. This obligation survives the termination of employment.</w:t>
      </w:r>
    </w:p>
    <w:p>
      <w:r>
        <w:rPr>
          <w:b/>
        </w:rPr>
        <w:t xml:space="preserve">7.2 Conflict of Interest: </w:t>
      </w:r>
      <w:r>
        <w:t>Employees must declare any related-party transactions or outside business interests that could conflict with Contoso Trade's remittance, FX or payments business.</w:t>
      </w:r>
    </w:p>
    <w:p>
      <w:r>
        <w:rPr>
          <w:b/>
        </w:rPr>
        <w:t xml:space="preserve">7.3 Anti-Bribery: </w:t>
      </w:r>
      <w:r>
        <w:t>No employee may solicit or accept gifts, entertainment, or facilitation payments above RM 200 in aggregate per calendar year from any customer, agent, or counterparty.</w:t>
      </w:r>
    </w:p>
    <w:p>
      <w:r>
        <w:rPr>
          <w:b/>
        </w:rPr>
        <w:t xml:space="preserve">7.4 Information Security: </w:t>
      </w:r>
      <w:r>
        <w:t>Sharing customer data via personal email, WhatsApp, or unauthorised cloud storage is a serious misconduct.</w:t>
      </w:r>
    </w:p>
    <w:p>
      <w:r>
        <w:rPr>
          <w:b/>
        </w:rPr>
        <w:t xml:space="preserve">7.5 AML Obligations: </w:t>
      </w:r>
      <w:r>
        <w:t>Wilful failure to report a suspicious transaction, tipping-off a customer, or bypassing KYC controls is gross misconduct under AMLA 2001 and grounds for summary dismissal.</w:t>
      </w:r>
    </w:p>
    <w:p>
      <w:pPr>
        <w:pStyle w:val="Heading1"/>
      </w:pPr>
      <w:r>
        <w:t>Section 9 — Disciplinary Procedure</w:t>
      </w:r>
    </w:p>
    <w:p>
      <w:r>
        <w:t>Contoso Trade follows a four-stage disciplinary process aligned with the Industrial Relations Act 1967 and BNM expectations on staff conduct in licensed institutions:</w:t>
      </w:r>
    </w:p>
    <w:p>
      <w:r>
        <w:rPr>
          <w:b/>
        </w:rPr>
        <w:t xml:space="preserve">Stage 1 — 9.1 Verbal Counselling: </w:t>
      </w:r>
      <w:r>
        <w:t>First-instance minor lapse. Documented in employee file. No copy on personnel record after 6 months if no recurrence.</w:t>
      </w:r>
    </w:p>
    <w:p>
      <w:r>
        <w:rPr>
          <w:b/>
        </w:rPr>
        <w:t xml:space="preserve">Stage 2 — 9.2 Written Warning: </w:t>
      </w:r>
      <w:r>
        <w:t>For repeat minor lapses or first-instance moderate misconduct. Valid for 12 months.</w:t>
      </w:r>
    </w:p>
    <w:p>
      <w:r>
        <w:rPr>
          <w:b/>
        </w:rPr>
        <w:t xml:space="preserve">Stage 3 — 9.3 Show-Cause Letter: </w:t>
      </w:r>
      <w:r>
        <w:t>Issued for serious or gross misconduct. Employee has 3 working days to respond in writing. Suspension on full pay may apply pending domestic inquiry.</w:t>
      </w:r>
    </w:p>
    <w:p>
      <w:r>
        <w:rPr>
          <w:b/>
        </w:rPr>
        <w:t xml:space="preserve">Stage 4 — 9.4 Domestic Inquiry &amp; Outcome: </w:t>
      </w:r>
      <w:r>
        <w:t>Conducted by an independent panel of three. Outcomes: (a) exonerate, (b) final written warning, (c) demotion, (d) dismissal with notice, (e) summary dismissal. The employee may be represented.</w:t>
      </w:r>
    </w:p>
    <w:p>
      <w:pPr>
        <w:pStyle w:val="Heading1"/>
      </w:pPr>
      <w:r>
        <w:t>Section 11 — Resignation &amp; Off-boarding</w:t>
      </w:r>
    </w:p>
    <w:p>
      <w:r>
        <w:rPr>
          <w:b/>
        </w:rPr>
        <w:t xml:space="preserve">11.1 Notice Period: </w:t>
      </w:r>
      <w:r>
        <w:t>Confirmed staff: 1 month (Grades G1–G2), 2 months (Grades M1–M2), 3 months (Grades M3 and above). Probationers: 24 hours.</w:t>
      </w:r>
    </w:p>
    <w:p>
      <w:r>
        <w:rPr>
          <w:b/>
        </w:rPr>
        <w:t xml:space="preserve">11.2 Buyout in Lieu of Notice: </w:t>
      </w:r>
      <w:r>
        <w:t>Permitted at the company's sole discretion. Buyout is computed at last drawn basic ÷ working days × shortfall days.</w:t>
      </w:r>
    </w:p>
    <w:p>
      <w:r>
        <w:rPr>
          <w:b/>
        </w:rPr>
        <w:t xml:space="preserve">11.3 Final Pay &amp; Leave: </w:t>
      </w:r>
      <w:r>
        <w:t>Final pay including prorated annual leave is released within 30 days of last working day. Unused MC is not encashable.</w:t>
      </w:r>
    </w:p>
    <w:p>
      <w:r>
        <w:rPr>
          <w:b/>
        </w:rPr>
        <w:t xml:space="preserve">11.4 Asset Return: </w:t>
      </w:r>
      <w:r>
        <w:t>Laptop, security token, access cards and uniform must be returned on or before last working day. Any unrecovered asset is deducted from final pay.</w:t>
      </w:r>
    </w:p>
    <w:p>
      <w:r>
        <w:rPr>
          <w:b/>
        </w:rPr>
        <w:t xml:space="preserve">11.5 Exit Interview: </w:t>
      </w:r>
      <w:r>
        <w:t>Mandatory for all confirmed staff. Conducted by HR Business Partner; outcomes feed into the quarterly retention review.</w:t>
      </w:r>
    </w:p>
    <w:p>
      <w:r>
        <w:rPr>
          <w:b/>
        </w:rPr>
        <w:t xml:space="preserve">11.6 Restrictive Covenants: </w:t>
      </w:r>
      <w:r>
        <w:t>Compliance and IT staff are bound by a 6-month non-compete covering directly competing remittance/MSB licensees in Malaysia. Non-solicitation of customers and staff applies for 12 months.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