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color w:val="856404"/>
          <w:sz w:val="18"/>
        </w:rPr>
        <w:t>SAMPLE DATA  Contoso Healthcare  For workshop demonstration only</w:t>
      </w:r>
    </w:p>
    <w:p>
      <w:pPr>
        <w:spacing w:after="80"/>
      </w:pPr>
      <w:r>
        <w:rPr>
          <w:i/>
          <w:sz w:val="18"/>
        </w:rPr>
        <w:t>This document contains DRAFT internal policies for workshop simulation purposes only. Do not distribute externally. Version: FY2026 Working Draft. Owner: Group Chief Operating Officer.</w:t>
      </w:r>
    </w:p>
    <w:p>
      <w:pPr>
        <w:pStyle w:val="Heading1"/>
        <w:spacing w:before="280" w:after="120"/>
      </w:pPr>
      <w:r>
        <w:rPr>
          <w:color w:val="007B8A"/>
          <w:sz w:val="30"/>
        </w:rPr>
        <w:t>POL-FIN-001  Revenue Recognition Policy</w:t>
      </w:r>
    </w:p>
    <w:p>
      <w:pPr>
        <w:pStyle w:val="Heading2"/>
        <w:spacing w:before="200" w:after="80"/>
      </w:pPr>
      <w:r>
        <w:rPr>
          <w:color w:val="003050"/>
          <w:sz w:val="24"/>
        </w:rPr>
        <w:t>1. Purpose and Scope</w:t>
      </w:r>
    </w:p>
    <w:p>
      <w:pPr>
        <w:spacing w:after="120"/>
      </w:pPr>
      <w:r>
        <w:rPr>
          <w:b w:val="0"/>
          <w:i w:val="0"/>
          <w:sz w:val="20"/>
        </w:rPr>
        <w:t>This policy establishes the principles and procedures for recognising revenue across all Contoso Healthcare Group hospitals, clinics, and ancillary services, in accordance with MFRS 15 (Revenue from Contracts with Customers) and Group Financial Reporting Manual Version 4.2.</w:t>
      </w:r>
    </w:p>
    <w:p>
      <w:pPr>
        <w:spacing w:after="120"/>
      </w:pPr>
      <w:r>
        <w:rPr>
          <w:b w:val="0"/>
          <w:i w:val="0"/>
          <w:sz w:val="20"/>
        </w:rPr>
        <w:t>This policy applies to all revenue-generating activities including inpatient admissions, outpatient consultations, diagnostic and ancillary services, pharmacy dispensing, specialist procedures, medical tourism packages, and research grants.</w:t>
      </w:r>
    </w:p>
    <w:p>
      <w:pPr>
        <w:pStyle w:val="Heading2"/>
        <w:spacing w:before="200" w:after="80"/>
      </w:pPr>
      <w:r>
        <w:rPr>
          <w:color w:val="003050"/>
          <w:sz w:val="24"/>
        </w:rPr>
        <w:t>2. Policy Statement</w:t>
      </w:r>
    </w:p>
    <w:p>
      <w:pPr>
        <w:pStyle w:val="ListBullet"/>
        <w:spacing w:after="40"/>
      </w:pPr>
      <w:r>
        <w:rPr>
          <w:sz w:val="20"/>
        </w:rPr>
        <w:t>Revenue shall be recognised when, or as, performance obligations to the patient/payer are satisfied.</w:t>
      </w:r>
    </w:p>
    <w:p>
      <w:pPr>
        <w:pStyle w:val="ListBullet"/>
        <w:spacing w:after="40"/>
      </w:pPr>
      <w:r>
        <w:rPr>
          <w:sz w:val="20"/>
        </w:rPr>
        <w:t>The Group uses the five-step MFRS 15 model: (1) identify the contract; (2) identify performance obligations; (3) determine transaction price; (4) allocate transaction price; (5) recognise revenue.</w:t>
      </w:r>
    </w:p>
    <w:p>
      <w:pPr>
        <w:pStyle w:val="ListBullet"/>
        <w:spacing w:after="40"/>
      </w:pPr>
      <w:r>
        <w:rPr>
          <w:sz w:val="20"/>
        </w:rPr>
        <w:t>For inpatient episodes, revenue is recognised over the period of admission using an output method (discharge milestone for packaged procedures; daily for open-ended admissions).</w:t>
      </w:r>
    </w:p>
    <w:p>
      <w:pPr>
        <w:pStyle w:val="ListBullet"/>
        <w:spacing w:after="40"/>
      </w:pPr>
      <w:r>
        <w:rPr>
          <w:sz w:val="20"/>
        </w:rPr>
        <w:t>Pharmacy dispensing revenue is point-in-time on dispensing. Diagnostic revenue is point-in-time on report issuance.</w:t>
      </w:r>
    </w:p>
    <w:p>
      <w:pPr>
        <w:pStyle w:val="ListBullet"/>
        <w:spacing w:after="40"/>
      </w:pPr>
      <w:r>
        <w:rPr>
          <w:sz w:val="20"/>
        </w:rPr>
        <w:t>All tariffs must be loaded in HIS Oracle Health and approved by the Group Head of Finance before billing.</w:t>
      </w:r>
    </w:p>
    <w:p>
      <w:pPr>
        <w:pStyle w:val="Heading2"/>
        <w:spacing w:before="200" w:after="80"/>
      </w:pPr>
      <w:r>
        <w:rPr>
          <w:color w:val="003050"/>
          <w:sz w:val="24"/>
        </w:rPr>
        <w:t>3. Payer Hierarchy and Billing Priority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7B8A"/>
          </w:tcPr>
          <w:p>
            <w:pPr>
              <w:jc w:val="center"/>
            </w:pPr>
            <w:r>
              <w:rPr>
                <w:b/>
                <w:color w:val="FFFFFF"/>
                <w:sz w:val="18"/>
              </w:rPr>
              <w:t>Payer Type</w:t>
            </w:r>
          </w:p>
        </w:tc>
        <w:tc>
          <w:tcPr>
            <w:tcW w:type="dxa" w:w="1881"/>
            <w:shd w:val="clear" w:color="auto" w:fill="007B8A"/>
          </w:tcPr>
          <w:p>
            <w:pPr>
              <w:jc w:val="center"/>
            </w:pPr>
            <w:r>
              <w:rPr>
                <w:b/>
                <w:color w:val="FFFFFF"/>
                <w:sz w:val="18"/>
              </w:rPr>
              <w:t>Billing Trigger</w:t>
            </w:r>
          </w:p>
        </w:tc>
        <w:tc>
          <w:tcPr>
            <w:tcW w:type="dxa" w:w="1881"/>
            <w:shd w:val="clear" w:color="auto" w:fill="007B8A"/>
          </w:tcPr>
          <w:p>
            <w:pPr>
              <w:jc w:val="center"/>
            </w:pPr>
            <w:r>
              <w:rPr>
                <w:b/>
                <w:color w:val="FFFFFF"/>
                <w:sz w:val="18"/>
              </w:rPr>
              <w:t>Credit Period</w:t>
            </w:r>
          </w:p>
        </w:tc>
        <w:tc>
          <w:tcPr>
            <w:tcW w:type="dxa" w:w="1881"/>
            <w:shd w:val="clear" w:color="auto" w:fill="007B8A"/>
          </w:tcPr>
          <w:p>
            <w:pPr>
              <w:jc w:val="center"/>
            </w:pPr>
            <w:r>
              <w:rPr>
                <w:b/>
                <w:color w:val="FFFFFF"/>
                <w:sz w:val="18"/>
              </w:rPr>
              <w:t>Discount Authority</w:t>
            </w:r>
          </w:p>
        </w:tc>
        <w:tc>
          <w:tcPr>
            <w:tcW w:type="dxa" w:w="1881"/>
            <w:shd w:val="clear" w:color="auto" w:fill="007B8A"/>
          </w:tcPr>
          <w:p>
            <w:pPr>
              <w:jc w:val="center"/>
            </w:pPr>
            <w:r>
              <w:rPr>
                <w:b/>
                <w:color w:val="FFFFFF"/>
                <w:sz w:val="18"/>
              </w:rPr>
              <w:t>Dispute SLA</w:t>
            </w:r>
          </w:p>
        </w:tc>
      </w:tr>
      <w:tr>
        <w:tc>
          <w:tcPr>
            <w:tcW w:type="dxa" w:w="1881"/>
            <w:shd w:val="clear" w:color="auto" w:fill="E8F4F5"/>
          </w:tcPr>
          <w:p>
            <w:r>
              <w:rPr>
                <w:sz w:val="18"/>
              </w:rPr>
              <w:t>Private Insurance (Panel)</w:t>
            </w:r>
          </w:p>
        </w:tc>
        <w:tc>
          <w:tcPr>
            <w:tcW w:type="dxa" w:w="1881"/>
            <w:shd w:val="clear" w:color="auto" w:fill="E8F4F5"/>
          </w:tcPr>
          <w:p>
            <w:r>
              <w:rPr>
                <w:sz w:val="18"/>
              </w:rPr>
              <w:t>Discharge + e-claim submission</w:t>
            </w:r>
          </w:p>
        </w:tc>
        <w:tc>
          <w:tcPr>
            <w:tcW w:type="dxa" w:w="1881"/>
            <w:shd w:val="clear" w:color="auto" w:fill="E8F4F5"/>
          </w:tcPr>
          <w:p>
            <w:r>
              <w:rPr>
                <w:sz w:val="18"/>
              </w:rPr>
              <w:t>45 days</w:t>
            </w:r>
          </w:p>
        </w:tc>
        <w:tc>
          <w:tcPr>
            <w:tcW w:type="dxa" w:w="1881"/>
            <w:shd w:val="clear" w:color="auto" w:fill="E8F4F5"/>
          </w:tcPr>
          <w:p>
            <w:r>
              <w:rPr>
                <w:sz w:val="18"/>
              </w:rPr>
              <w:t>Hospital Finance Manager up to 10%</w:t>
            </w:r>
          </w:p>
        </w:tc>
        <w:tc>
          <w:tcPr>
            <w:tcW w:type="dxa" w:w="1881"/>
            <w:shd w:val="clear" w:color="auto" w:fill="E8F4F5"/>
          </w:tcPr>
          <w:p>
            <w:r>
              <w:rPr>
                <w:sz w:val="18"/>
              </w:rPr>
              <w:t>14 working days</w:t>
            </w:r>
          </w:p>
        </w:tc>
      </w:tr>
      <w:tr>
        <w:tc>
          <w:tcPr>
            <w:tcW w:type="dxa" w:w="1881"/>
            <w:shd w:val="clear" w:color="auto" w:fill="FFFFFF"/>
          </w:tcPr>
          <w:p>
            <w:r>
              <w:rPr>
                <w:sz w:val="18"/>
              </w:rPr>
              <w:t>Corporate GL (MNC/GLC)</w:t>
            </w:r>
          </w:p>
        </w:tc>
        <w:tc>
          <w:tcPr>
            <w:tcW w:type="dxa" w:w="1881"/>
            <w:shd w:val="clear" w:color="auto" w:fill="FFFFFF"/>
          </w:tcPr>
          <w:p>
            <w:r>
              <w:rPr>
                <w:sz w:val="18"/>
              </w:rPr>
              <w:t>Discharge + invoice</w:t>
            </w:r>
          </w:p>
        </w:tc>
        <w:tc>
          <w:tcPr>
            <w:tcW w:type="dxa" w:w="1881"/>
            <w:shd w:val="clear" w:color="auto" w:fill="FFFFFF"/>
          </w:tcPr>
          <w:p>
            <w:r>
              <w:rPr>
                <w:sz w:val="18"/>
              </w:rPr>
              <w:t>30 days</w:t>
            </w:r>
          </w:p>
        </w:tc>
        <w:tc>
          <w:tcPr>
            <w:tcW w:type="dxa" w:w="1881"/>
            <w:shd w:val="clear" w:color="auto" w:fill="FFFFFF"/>
          </w:tcPr>
          <w:p>
            <w:r>
              <w:rPr>
                <w:sz w:val="18"/>
              </w:rPr>
              <w:t>Hospital CEO up to 15%</w:t>
            </w:r>
          </w:p>
        </w:tc>
        <w:tc>
          <w:tcPr>
            <w:tcW w:type="dxa" w:w="1881"/>
            <w:shd w:val="clear" w:color="auto" w:fill="FFFFFF"/>
          </w:tcPr>
          <w:p>
            <w:r>
              <w:rPr>
                <w:sz w:val="18"/>
              </w:rPr>
              <w:t>10 working days</w:t>
            </w:r>
          </w:p>
        </w:tc>
      </w:tr>
      <w:tr>
        <w:tc>
          <w:tcPr>
            <w:tcW w:type="dxa" w:w="1881"/>
            <w:shd w:val="clear" w:color="auto" w:fill="E8F4F5"/>
          </w:tcPr>
          <w:p>
            <w:r>
              <w:rPr>
                <w:sz w:val="18"/>
              </w:rPr>
              <w:t>Cash Out-of-Pocket</w:t>
            </w:r>
          </w:p>
        </w:tc>
        <w:tc>
          <w:tcPr>
            <w:tcW w:type="dxa" w:w="1881"/>
            <w:shd w:val="clear" w:color="auto" w:fill="E8F4F5"/>
          </w:tcPr>
          <w:p>
            <w:r>
              <w:rPr>
                <w:sz w:val="18"/>
              </w:rPr>
              <w:t>Point of service</w:t>
            </w:r>
          </w:p>
        </w:tc>
        <w:tc>
          <w:tcPr>
            <w:tcW w:type="dxa" w:w="1881"/>
            <w:shd w:val="clear" w:color="auto" w:fill="E8F4F5"/>
          </w:tcPr>
          <w:p>
            <w:r>
              <w:rPr>
                <w:sz w:val="18"/>
              </w:rPr>
              <w:t>Due on discharge</w:t>
            </w:r>
          </w:p>
        </w:tc>
        <w:tc>
          <w:tcPr>
            <w:tcW w:type="dxa" w:w="1881"/>
            <w:shd w:val="clear" w:color="auto" w:fill="E8F4F5"/>
          </w:tcPr>
          <w:p>
            <w:r>
              <w:rPr>
                <w:sz w:val="18"/>
              </w:rPr>
              <w:t>Attending physician up to 5%</w:t>
            </w:r>
          </w:p>
        </w:tc>
        <w:tc>
          <w:tcPr>
            <w:tcW w:type="dxa" w:w="1881"/>
            <w:shd w:val="clear" w:color="auto" w:fill="E8F4F5"/>
          </w:tcPr>
          <w:p>
            <w:r>
              <w:rPr>
                <w:sz w:val="18"/>
              </w:rPr>
              <w:t>–</w:t>
            </w:r>
          </w:p>
        </w:tc>
      </w:tr>
      <w:tr>
        <w:tc>
          <w:tcPr>
            <w:tcW w:type="dxa" w:w="1881"/>
            <w:shd w:val="clear" w:color="auto" w:fill="FFFFFF"/>
          </w:tcPr>
          <w:p>
            <w:r>
              <w:rPr>
                <w:sz w:val="18"/>
              </w:rPr>
              <w:t>Government Referral</w:t>
            </w:r>
          </w:p>
        </w:tc>
        <w:tc>
          <w:tcPr>
            <w:tcW w:type="dxa" w:w="1881"/>
            <w:shd w:val="clear" w:color="auto" w:fill="FFFFFF"/>
          </w:tcPr>
          <w:p>
            <w:r>
              <w:rPr>
                <w:sz w:val="18"/>
              </w:rPr>
              <w:t>MOH claim submission</w:t>
            </w:r>
          </w:p>
        </w:tc>
        <w:tc>
          <w:tcPr>
            <w:tcW w:type="dxa" w:w="1881"/>
            <w:shd w:val="clear" w:color="auto" w:fill="FFFFFF"/>
          </w:tcPr>
          <w:p>
            <w:r>
              <w:rPr>
                <w:sz w:val="18"/>
              </w:rPr>
              <w:t>90 days</w:t>
            </w:r>
          </w:p>
        </w:tc>
        <w:tc>
          <w:tcPr>
            <w:tcW w:type="dxa" w:w="1881"/>
            <w:shd w:val="clear" w:color="auto" w:fill="FFFFFF"/>
          </w:tcPr>
          <w:p>
            <w:r>
              <w:rPr>
                <w:sz w:val="18"/>
              </w:rPr>
              <w:t>Group Head of Finance</w:t>
            </w:r>
          </w:p>
        </w:tc>
        <w:tc>
          <w:tcPr>
            <w:tcW w:type="dxa" w:w="1881"/>
            <w:shd w:val="clear" w:color="auto" w:fill="FFFFFF"/>
          </w:tcPr>
          <w:p>
            <w:r>
              <w:rPr>
                <w:sz w:val="18"/>
              </w:rPr>
              <w:t>30 working days</w:t>
            </w:r>
          </w:p>
        </w:tc>
      </w:tr>
      <w:tr>
        <w:tc>
          <w:tcPr>
            <w:tcW w:type="dxa" w:w="1881"/>
            <w:shd w:val="clear" w:color="auto" w:fill="E8F4F5"/>
          </w:tcPr>
          <w:p>
            <w:r>
              <w:rPr>
                <w:sz w:val="18"/>
              </w:rPr>
              <w:t>Medical Tourism</w:t>
            </w:r>
          </w:p>
        </w:tc>
        <w:tc>
          <w:tcPr>
            <w:tcW w:type="dxa" w:w="1881"/>
            <w:shd w:val="clear" w:color="auto" w:fill="E8F4F5"/>
          </w:tcPr>
          <w:p>
            <w:r>
              <w:rPr>
                <w:sz w:val="18"/>
              </w:rPr>
              <w:t>Pre-auth + deposit</w:t>
            </w:r>
          </w:p>
        </w:tc>
        <w:tc>
          <w:tcPr>
            <w:tcW w:type="dxa" w:w="1881"/>
            <w:shd w:val="clear" w:color="auto" w:fill="E8F4F5"/>
          </w:tcPr>
          <w:p>
            <w:r>
              <w:rPr>
                <w:sz w:val="18"/>
              </w:rPr>
              <w:t>Pre-paid</w:t>
            </w:r>
          </w:p>
        </w:tc>
        <w:tc>
          <w:tcPr>
            <w:tcW w:type="dxa" w:w="1881"/>
            <w:shd w:val="clear" w:color="auto" w:fill="E8F4F5"/>
          </w:tcPr>
          <w:p>
            <w:r>
              <w:rPr>
                <w:sz w:val="18"/>
              </w:rPr>
              <w:t>Group CEO approval required</w:t>
            </w:r>
          </w:p>
        </w:tc>
        <w:tc>
          <w:tcPr>
            <w:tcW w:type="dxa" w:w="1881"/>
            <w:shd w:val="clear" w:color="auto" w:fill="E8F4F5"/>
          </w:tcPr>
          <w:p>
            <w:r>
              <w:rPr>
                <w:sz w:val="18"/>
              </w:rPr>
              <w:t>21 working days</w:t>
            </w:r>
          </w:p>
        </w:tc>
      </w:tr>
    </w:tbl>
    <w:p/>
    <w:p>
      <w:pPr>
        <w:pStyle w:val="Heading2"/>
        <w:spacing w:before="200" w:after="80"/>
      </w:pPr>
      <w:r>
        <w:rPr>
          <w:color w:val="003050"/>
          <w:sz w:val="24"/>
        </w:rPr>
        <w:t>4. Controls and Escalation</w:t>
      </w:r>
    </w:p>
    <w:p>
      <w:pPr>
        <w:pStyle w:val="ListBullet"/>
        <w:spacing w:after="40"/>
      </w:pPr>
      <w:r>
        <w:rPr>
          <w:sz w:val="20"/>
        </w:rPr>
        <w:t>All outstanding debtors exceeding 90 days must be escalated to Group Finance with a recovery plan.</w:t>
      </w:r>
    </w:p>
    <w:p>
      <w:pPr>
        <w:pStyle w:val="ListBullet"/>
        <w:spacing w:after="40"/>
      </w:pPr>
      <w:r>
        <w:rPr>
          <w:sz w:val="20"/>
        </w:rPr>
        <w:t>Monthly debtor aging reports to be reviewed by Hospital Finance Manager and CEO.</w:t>
      </w:r>
    </w:p>
    <w:p>
      <w:pPr>
        <w:pStyle w:val="ListBullet"/>
        <w:spacing w:after="40"/>
      </w:pPr>
      <w:r>
        <w:rPr>
          <w:sz w:val="20"/>
        </w:rPr>
        <w:t>Bad debt provisioning: 25% at 91–180 days; 75% at 181–365 days; 100% write-off after 365 days (subject to legal opinion).</w:t>
      </w:r>
    </w:p>
    <w:p>
      <w:pPr>
        <w:pStyle w:val="ListBullet"/>
        <w:spacing w:after="40"/>
      </w:pPr>
      <w:r>
        <w:rPr>
          <w:sz w:val="20"/>
        </w:rPr>
        <w:t>Inter-hospital referral revenue to be eliminated on Group consolidation per MFRS 10.</w:t>
      </w:r>
    </w:p>
    <w:p>
      <w:pPr>
        <w:pStyle w:val="Heading2"/>
        <w:spacing w:before="200" w:after="80"/>
      </w:pPr>
      <w:r>
        <w:rPr>
          <w:color w:val="003050"/>
          <w:sz w:val="24"/>
        </w:rPr>
        <w:t>5. Review Cycle</w:t>
      </w:r>
    </w:p>
    <w:p>
      <w:pPr>
        <w:spacing w:after="120"/>
      </w:pPr>
      <w:r>
        <w:rPr>
          <w:b w:val="0"/>
          <w:i w:val="0"/>
          <w:sz w:val="20"/>
        </w:rPr>
        <w:t>This policy is reviewed annually by the Group Chief Financial Officer or upon changes to MFRS 15 interpretations. Next review due: March 2027.</w:t>
      </w:r>
    </w:p>
    <w:p>
      <w:r>
        <w:br w:type="page"/>
      </w:r>
    </w:p>
    <w:p>
      <w:pPr>
        <w:pStyle w:val="Heading1"/>
        <w:spacing w:before="280" w:after="120"/>
      </w:pPr>
      <w:r>
        <w:rPr>
          <w:color w:val="007B8A"/>
          <w:sz w:val="30"/>
        </w:rPr>
        <w:t>POL-FIN-002  Capital Expenditure Authorisation Policy</w:t>
      </w:r>
    </w:p>
    <w:p>
      <w:pPr>
        <w:pStyle w:val="Heading2"/>
        <w:spacing w:before="200" w:after="80"/>
      </w:pPr>
      <w:r>
        <w:rPr>
          <w:color w:val="003050"/>
          <w:sz w:val="24"/>
        </w:rPr>
        <w:t>1. Purpose</w:t>
      </w:r>
    </w:p>
    <w:p>
      <w:pPr>
        <w:spacing w:after="120"/>
      </w:pPr>
      <w:r>
        <w:rPr>
          <w:b w:val="0"/>
          <w:i w:val="0"/>
          <w:sz w:val="20"/>
        </w:rPr>
        <w:t>To establish a framework for the appraisal, authorisation, monitoring, and post-implementation review of capital expenditure (capex) across the Group, ensuring all investments meet return-on-investment thresholds and strategic alignment criteria.</w:t>
      </w:r>
    </w:p>
    <w:p>
      <w:pPr>
        <w:pStyle w:val="Heading2"/>
        <w:spacing w:before="200" w:after="80"/>
      </w:pPr>
      <w:r>
        <w:rPr>
          <w:color w:val="003050"/>
          <w:sz w:val="24"/>
        </w:rPr>
        <w:t>2. Capex Categories and Thresholds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07B8A"/>
          </w:tcPr>
          <w:p>
            <w:pPr>
              <w:jc w:val="center"/>
            </w:pPr>
            <w:r>
              <w:rPr>
                <w:b/>
                <w:color w:val="FFFFFF"/>
                <w:sz w:val="18"/>
              </w:rPr>
              <w:t>Category</w:t>
            </w:r>
          </w:p>
        </w:tc>
        <w:tc>
          <w:tcPr>
            <w:tcW w:type="dxa" w:w="1568"/>
            <w:shd w:val="clear" w:color="auto" w:fill="007B8A"/>
          </w:tcPr>
          <w:p>
            <w:pPr>
              <w:jc w:val="center"/>
            </w:pPr>
            <w:r>
              <w:rPr>
                <w:b/>
                <w:color w:val="FFFFFF"/>
                <w:sz w:val="18"/>
              </w:rPr>
              <w:t>Description</w:t>
            </w:r>
          </w:p>
        </w:tc>
        <w:tc>
          <w:tcPr>
            <w:tcW w:type="dxa" w:w="1568"/>
            <w:shd w:val="clear" w:color="auto" w:fill="007B8A"/>
          </w:tcPr>
          <w:p>
            <w:pPr>
              <w:jc w:val="center"/>
            </w:pPr>
            <w:r>
              <w:rPr>
                <w:b/>
                <w:color w:val="FFFFFF"/>
                <w:sz w:val="18"/>
              </w:rPr>
              <w:t>Min IRR</w:t>
            </w:r>
          </w:p>
        </w:tc>
        <w:tc>
          <w:tcPr>
            <w:tcW w:type="dxa" w:w="1568"/>
            <w:shd w:val="clear" w:color="auto" w:fill="007B8A"/>
          </w:tcPr>
          <w:p>
            <w:pPr>
              <w:jc w:val="center"/>
            </w:pPr>
            <w:r>
              <w:rPr>
                <w:b/>
                <w:color w:val="FFFFFF"/>
                <w:sz w:val="18"/>
              </w:rPr>
              <w:t>Payback (yrs)</w:t>
            </w:r>
          </w:p>
        </w:tc>
        <w:tc>
          <w:tcPr>
            <w:tcW w:type="dxa" w:w="1568"/>
            <w:shd w:val="clear" w:color="auto" w:fill="007B8A"/>
          </w:tcPr>
          <w:p>
            <w:pPr>
              <w:jc w:val="center"/>
            </w:pPr>
            <w:r>
              <w:rPr>
                <w:b/>
                <w:color w:val="FFFFFF"/>
                <w:sz w:val="18"/>
              </w:rPr>
              <w:t>Approval Authority</w:t>
            </w:r>
          </w:p>
        </w:tc>
        <w:tc>
          <w:tcPr>
            <w:tcW w:type="dxa" w:w="1568"/>
            <w:shd w:val="clear" w:color="auto" w:fill="007B8A"/>
          </w:tcPr>
          <w:p>
            <w:pPr>
              <w:jc w:val="center"/>
            </w:pPr>
            <w:r>
              <w:rPr>
                <w:b/>
                <w:color w:val="FFFFFF"/>
                <w:sz w:val="18"/>
              </w:rPr>
              <w:t>Board Notification</w:t>
            </w:r>
          </w:p>
        </w:tc>
      </w:tr>
      <w:tr>
        <w:tc>
          <w:tcPr>
            <w:tcW w:type="dxa" w:w="1568"/>
            <w:shd w:val="clear" w:color="auto" w:fill="E8F4F5"/>
          </w:tcPr>
          <w:p>
            <w:r>
              <w:rPr>
                <w:sz w:val="18"/>
              </w:rPr>
              <w:t>Replacement Capex</w:t>
            </w:r>
          </w:p>
        </w:tc>
        <w:tc>
          <w:tcPr>
            <w:tcW w:type="dxa" w:w="1568"/>
            <w:shd w:val="clear" w:color="auto" w:fill="E8F4F5"/>
          </w:tcPr>
          <w:p>
            <w:r>
              <w:rPr>
                <w:sz w:val="18"/>
              </w:rPr>
              <w:t>Like-for-like equipment replacement; no incremental capacity</w:t>
            </w:r>
          </w:p>
        </w:tc>
        <w:tc>
          <w:tcPr>
            <w:tcW w:type="dxa" w:w="1568"/>
            <w:shd w:val="clear" w:color="auto" w:fill="E8F4F5"/>
          </w:tcPr>
          <w:p>
            <w:r>
              <w:rPr>
                <w:sz w:val="18"/>
              </w:rPr>
              <w:t>N/A (operational necessity)</w:t>
            </w:r>
          </w:p>
        </w:tc>
        <w:tc>
          <w:tcPr>
            <w:tcW w:type="dxa" w:w="1568"/>
            <w:shd w:val="clear" w:color="auto" w:fill="E8F4F5"/>
          </w:tcPr>
          <w:p>
            <w:r>
              <w:rPr>
                <w:sz w:val="18"/>
              </w:rPr>
              <w:t>&lt;6</w:t>
            </w:r>
          </w:p>
        </w:tc>
        <w:tc>
          <w:tcPr>
            <w:tcW w:type="dxa" w:w="1568"/>
            <w:shd w:val="clear" w:color="auto" w:fill="E8F4F5"/>
          </w:tcPr>
          <w:p>
            <w:r>
              <w:rPr>
                <w:sz w:val="18"/>
              </w:rPr>
              <w:t>Hospital CEO + CFO</w:t>
            </w:r>
          </w:p>
        </w:tc>
        <w:tc>
          <w:tcPr>
            <w:tcW w:type="dxa" w:w="1568"/>
            <w:shd w:val="clear" w:color="auto" w:fill="E8F4F5"/>
          </w:tcPr>
          <w:p>
            <w:r>
              <w:rPr>
                <w:sz w:val="18"/>
              </w:rPr>
              <w:t>If &gt;RM 5M</w:t>
            </w:r>
          </w:p>
        </w:tc>
      </w:tr>
      <w:tr>
        <w:tc>
          <w:tcPr>
            <w:tcW w:type="dxa" w:w="1568"/>
            <w:shd w:val="clear" w:color="auto" w:fill="FFFFFF"/>
          </w:tcPr>
          <w:p>
            <w:r>
              <w:rPr>
                <w:sz w:val="18"/>
              </w:rPr>
              <w:t>Expansion Capex</w:t>
            </w:r>
          </w:p>
        </w:tc>
        <w:tc>
          <w:tcPr>
            <w:tcW w:type="dxa" w:w="1568"/>
            <w:shd w:val="clear" w:color="auto" w:fill="FFFFFF"/>
          </w:tcPr>
          <w:p>
            <w:r>
              <w:rPr>
                <w:sz w:val="18"/>
              </w:rPr>
              <w:t>New beds, wards, operating theatres; capacity addition</w:t>
            </w:r>
          </w:p>
        </w:tc>
        <w:tc>
          <w:tcPr>
            <w:tcW w:type="dxa" w:w="1568"/>
            <w:shd w:val="clear" w:color="auto" w:fill="FFFFFF"/>
          </w:tcPr>
          <w:p>
            <w:r>
              <w:rPr>
                <w:sz w:val="18"/>
              </w:rPr>
              <w:t>≥14%</w:t>
            </w:r>
          </w:p>
        </w:tc>
        <w:tc>
          <w:tcPr>
            <w:tcW w:type="dxa" w:w="1568"/>
            <w:shd w:val="clear" w:color="auto" w:fill="FFFFFF"/>
          </w:tcPr>
          <w:p>
            <w:r>
              <w:rPr>
                <w:sz w:val="18"/>
              </w:rPr>
              <w:t>&lt;7</w:t>
            </w:r>
          </w:p>
        </w:tc>
        <w:tc>
          <w:tcPr>
            <w:tcW w:type="dxa" w:w="1568"/>
            <w:shd w:val="clear" w:color="auto" w:fill="FFFFFF"/>
          </w:tcPr>
          <w:p>
            <w:r>
              <w:rPr>
                <w:sz w:val="18"/>
              </w:rPr>
              <w:t>Group CEO + Group CFO</w:t>
            </w:r>
          </w:p>
        </w:tc>
        <w:tc>
          <w:tcPr>
            <w:tcW w:type="dxa" w:w="1568"/>
            <w:shd w:val="clear" w:color="auto" w:fill="FFFFFF"/>
          </w:tcPr>
          <w:p>
            <w:r>
              <w:rPr>
                <w:sz w:val="18"/>
              </w:rPr>
              <w:t>Always</w:t>
            </w:r>
          </w:p>
        </w:tc>
      </w:tr>
      <w:tr>
        <w:tc>
          <w:tcPr>
            <w:tcW w:type="dxa" w:w="1568"/>
            <w:shd w:val="clear" w:color="auto" w:fill="E8F4F5"/>
          </w:tcPr>
          <w:p>
            <w:r>
              <w:rPr>
                <w:sz w:val="18"/>
              </w:rPr>
              <w:t>Strategic Capex</w:t>
            </w:r>
          </w:p>
        </w:tc>
        <w:tc>
          <w:tcPr>
            <w:tcW w:type="dxa" w:w="1568"/>
            <w:shd w:val="clear" w:color="auto" w:fill="E8F4F5"/>
          </w:tcPr>
          <w:p>
            <w:r>
              <w:rPr>
                <w:sz w:val="18"/>
              </w:rPr>
              <w:t>New hospital, M&amp;A, major digital platform</w:t>
            </w:r>
          </w:p>
        </w:tc>
        <w:tc>
          <w:tcPr>
            <w:tcW w:type="dxa" w:w="1568"/>
            <w:shd w:val="clear" w:color="auto" w:fill="E8F4F5"/>
          </w:tcPr>
          <w:p>
            <w:r>
              <w:rPr>
                <w:sz w:val="18"/>
              </w:rPr>
              <w:t>≥12%</w:t>
            </w:r>
          </w:p>
        </w:tc>
        <w:tc>
          <w:tcPr>
            <w:tcW w:type="dxa" w:w="1568"/>
            <w:shd w:val="clear" w:color="auto" w:fill="E8F4F5"/>
          </w:tcPr>
          <w:p>
            <w:r>
              <w:rPr>
                <w:sz w:val="18"/>
              </w:rPr>
              <w:t>&lt;10</w:t>
            </w:r>
          </w:p>
        </w:tc>
        <w:tc>
          <w:tcPr>
            <w:tcW w:type="dxa" w:w="1568"/>
            <w:shd w:val="clear" w:color="auto" w:fill="E8F4F5"/>
          </w:tcPr>
          <w:p>
            <w:r>
              <w:rPr>
                <w:sz w:val="18"/>
              </w:rPr>
              <w:t>Board of Directors</w:t>
            </w:r>
          </w:p>
        </w:tc>
        <w:tc>
          <w:tcPr>
            <w:tcW w:type="dxa" w:w="1568"/>
            <w:shd w:val="clear" w:color="auto" w:fill="E8F4F5"/>
          </w:tcPr>
          <w:p>
            <w:r>
              <w:rPr>
                <w:sz w:val="18"/>
              </w:rPr>
              <w:t>Always</w:t>
            </w:r>
          </w:p>
        </w:tc>
      </w:tr>
      <w:tr>
        <w:tc>
          <w:tcPr>
            <w:tcW w:type="dxa" w:w="1568"/>
            <w:shd w:val="clear" w:color="auto" w:fill="FFFFFF"/>
          </w:tcPr>
          <w:p>
            <w:r>
              <w:rPr>
                <w:sz w:val="18"/>
              </w:rPr>
              <w:t>IT &amp; Digital Capex</w:t>
            </w:r>
          </w:p>
        </w:tc>
        <w:tc>
          <w:tcPr>
            <w:tcW w:type="dxa" w:w="1568"/>
            <w:shd w:val="clear" w:color="auto" w:fill="FFFFFF"/>
          </w:tcPr>
          <w:p>
            <w:r>
              <w:rPr>
                <w:sz w:val="18"/>
              </w:rPr>
              <w:t>HIS upgrades, AI/analytics, cybersecurity</w:t>
            </w:r>
          </w:p>
        </w:tc>
        <w:tc>
          <w:tcPr>
            <w:tcW w:type="dxa" w:w="1568"/>
            <w:shd w:val="clear" w:color="auto" w:fill="FFFFFF"/>
          </w:tcPr>
          <w:p>
            <w:r>
              <w:rPr>
                <w:sz w:val="18"/>
              </w:rPr>
              <w:t>≥10% or productivity benefit</w:t>
            </w:r>
          </w:p>
        </w:tc>
        <w:tc>
          <w:tcPr>
            <w:tcW w:type="dxa" w:w="1568"/>
            <w:shd w:val="clear" w:color="auto" w:fill="FFFFFF"/>
          </w:tcPr>
          <w:p>
            <w:r>
              <w:rPr>
                <w:sz w:val="18"/>
              </w:rPr>
              <w:t>&lt;5</w:t>
            </w:r>
          </w:p>
        </w:tc>
        <w:tc>
          <w:tcPr>
            <w:tcW w:type="dxa" w:w="1568"/>
            <w:shd w:val="clear" w:color="auto" w:fill="FFFFFF"/>
          </w:tcPr>
          <w:p>
            <w:r>
              <w:rPr>
                <w:sz w:val="18"/>
              </w:rPr>
              <w:t>Group CIO + CFO</w:t>
            </w:r>
          </w:p>
        </w:tc>
        <w:tc>
          <w:tcPr>
            <w:tcW w:type="dxa" w:w="1568"/>
            <w:shd w:val="clear" w:color="auto" w:fill="FFFFFF"/>
          </w:tcPr>
          <w:p>
            <w:r>
              <w:rPr>
                <w:sz w:val="18"/>
              </w:rPr>
              <w:t>If &gt;RM 3M</w:t>
            </w:r>
          </w:p>
        </w:tc>
      </w:tr>
      <w:tr>
        <w:tc>
          <w:tcPr>
            <w:tcW w:type="dxa" w:w="1568"/>
            <w:shd w:val="clear" w:color="auto" w:fill="E8F4F5"/>
          </w:tcPr>
          <w:p>
            <w:r>
              <w:rPr>
                <w:sz w:val="18"/>
              </w:rPr>
              <w:t>ESG/Compliance Capex</w:t>
            </w:r>
          </w:p>
        </w:tc>
        <w:tc>
          <w:tcPr>
            <w:tcW w:type="dxa" w:w="1568"/>
            <w:shd w:val="clear" w:color="auto" w:fill="E8F4F5"/>
          </w:tcPr>
          <w:p>
            <w:r>
              <w:rPr>
                <w:sz w:val="18"/>
              </w:rPr>
              <w:t>Mandatory regulatory compliance; safety; accreditation</w:t>
            </w:r>
          </w:p>
        </w:tc>
        <w:tc>
          <w:tcPr>
            <w:tcW w:type="dxa" w:w="1568"/>
            <w:shd w:val="clear" w:color="auto" w:fill="E8F4F5"/>
          </w:tcPr>
          <w:p>
            <w:r>
              <w:rPr>
                <w:sz w:val="18"/>
              </w:rPr>
              <w:t>N/A</w:t>
            </w:r>
          </w:p>
        </w:tc>
        <w:tc>
          <w:tcPr>
            <w:tcW w:type="dxa" w:w="1568"/>
            <w:shd w:val="clear" w:color="auto" w:fill="E8F4F5"/>
          </w:tcPr>
          <w:p>
            <w:r>
              <w:rPr>
                <w:sz w:val="18"/>
              </w:rPr>
              <w:t>N/A</w:t>
            </w:r>
          </w:p>
        </w:tc>
        <w:tc>
          <w:tcPr>
            <w:tcW w:type="dxa" w:w="1568"/>
            <w:shd w:val="clear" w:color="auto" w:fill="E8F4F5"/>
          </w:tcPr>
          <w:p>
            <w:r>
              <w:rPr>
                <w:sz w:val="18"/>
              </w:rPr>
              <w:t>Hospital CEO</w:t>
            </w:r>
          </w:p>
        </w:tc>
        <w:tc>
          <w:tcPr>
            <w:tcW w:type="dxa" w:w="1568"/>
            <w:shd w:val="clear" w:color="auto" w:fill="E8F4F5"/>
          </w:tcPr>
          <w:p>
            <w:r>
              <w:rPr>
                <w:sz w:val="18"/>
              </w:rPr>
              <w:t>If &gt;RM 2M</w:t>
            </w:r>
          </w:p>
        </w:tc>
      </w:tr>
    </w:tbl>
    <w:p/>
    <w:p>
      <w:pPr>
        <w:pStyle w:val="Heading2"/>
        <w:spacing w:before="200" w:after="80"/>
      </w:pPr>
      <w:r>
        <w:rPr>
          <w:color w:val="003050"/>
          <w:sz w:val="24"/>
        </w:rPr>
        <w:t>3. Appraisal Process</w:t>
      </w:r>
    </w:p>
    <w:p>
      <w:pPr>
        <w:pStyle w:val="ListBullet"/>
        <w:spacing w:after="40"/>
      </w:pPr>
      <w:r>
        <w:rPr>
          <w:sz w:val="20"/>
        </w:rPr>
        <w:t>All capex requests must include a Business Case using the Group Capex Template (Form CAP-01).</w:t>
      </w:r>
    </w:p>
    <w:p>
      <w:pPr>
        <w:pStyle w:val="ListBullet"/>
        <w:spacing w:after="40"/>
      </w:pPr>
      <w:r>
        <w:rPr>
          <w:sz w:val="20"/>
        </w:rPr>
        <w:t>Financial appraisal: DCF analysis (10-year horizon), NPV at 10% WACC, IRR, payback, and sensitivity analysis (±20% revenue; ±15% cost).</w:t>
      </w:r>
    </w:p>
    <w:p>
      <w:pPr>
        <w:pStyle w:val="ListBullet"/>
        <w:spacing w:after="40"/>
      </w:pPr>
      <w:r>
        <w:rPr>
          <w:sz w:val="20"/>
        </w:rPr>
        <w:t>Clinical appraisal (for medical equipment): Technology Assessment Report from Clinical Advisory Committee within 30 days.</w:t>
      </w:r>
    </w:p>
    <w:p>
      <w:pPr>
        <w:pStyle w:val="ListBullet"/>
        <w:spacing w:after="40"/>
      </w:pPr>
      <w:r>
        <w:rPr>
          <w:sz w:val="20"/>
        </w:rPr>
        <w:t>ESG Impact Assessment required for projects &gt;RM 5M.</w:t>
      </w:r>
    </w:p>
    <w:p>
      <w:pPr>
        <w:pStyle w:val="Heading2"/>
        <w:spacing w:before="200" w:after="80"/>
      </w:pPr>
      <w:r>
        <w:rPr>
          <w:color w:val="003050"/>
          <w:sz w:val="24"/>
        </w:rPr>
        <w:t>4. FY2026 Capex Budget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7B8A"/>
          </w:tcPr>
          <w:p>
            <w:pPr>
              <w:jc w:val="center"/>
            </w:pPr>
            <w:r>
              <w:rPr>
                <w:b/>
                <w:color w:val="FFFFFF"/>
                <w:sz w:val="18"/>
              </w:rPr>
              <w:t>Hospital</w:t>
            </w:r>
          </w:p>
        </w:tc>
        <w:tc>
          <w:tcPr>
            <w:tcW w:type="dxa" w:w="2351"/>
            <w:shd w:val="clear" w:color="auto" w:fill="007B8A"/>
          </w:tcPr>
          <w:p>
            <w:pPr>
              <w:jc w:val="center"/>
            </w:pPr>
            <w:r>
              <w:rPr>
                <w:b/>
                <w:color w:val="FFFFFF"/>
                <w:sz w:val="18"/>
              </w:rPr>
              <w:t>Approved Capex RM M</w:t>
            </w:r>
          </w:p>
        </w:tc>
        <w:tc>
          <w:tcPr>
            <w:tcW w:type="dxa" w:w="2351"/>
            <w:shd w:val="clear" w:color="auto" w:fill="007B8A"/>
          </w:tcPr>
          <w:p>
            <w:pPr>
              <w:jc w:val="center"/>
            </w:pPr>
            <w:r>
              <w:rPr>
                <w:b/>
                <w:color w:val="FFFFFF"/>
                <w:sz w:val="18"/>
              </w:rPr>
              <w:t>Key Projects</w:t>
            </w:r>
          </w:p>
        </w:tc>
        <w:tc>
          <w:tcPr>
            <w:tcW w:type="dxa" w:w="2351"/>
            <w:shd w:val="clear" w:color="auto" w:fill="007B8A"/>
          </w:tcPr>
          <w:p>
            <w:pPr>
              <w:jc w:val="center"/>
            </w:pPr>
            <w:r>
              <w:rPr>
                <w:b/>
                <w:color w:val="FFFFFF"/>
                <w:sz w:val="18"/>
              </w:rPr>
              <w:t>Status</w:t>
            </w:r>
          </w:p>
        </w:tc>
      </w:tr>
      <w:tr>
        <w:tc>
          <w:tcPr>
            <w:tcW w:type="dxa" w:w="2351"/>
            <w:shd w:val="clear" w:color="auto" w:fill="E8F4F5"/>
          </w:tcPr>
          <w:p>
            <w:r>
              <w:rPr>
                <w:sz w:val="18"/>
              </w:rPr>
              <w:t>Contoso General Hospital KL</w:t>
            </w:r>
          </w:p>
        </w:tc>
        <w:tc>
          <w:tcPr>
            <w:tcW w:type="dxa" w:w="2351"/>
            <w:shd w:val="clear" w:color="auto" w:fill="E8F4F5"/>
          </w:tcPr>
          <w:p>
            <w:r>
              <w:rPr>
                <w:sz w:val="18"/>
              </w:rPr>
              <w:t>68.5</w:t>
            </w:r>
          </w:p>
        </w:tc>
        <w:tc>
          <w:tcPr>
            <w:tcW w:type="dxa" w:w="2351"/>
            <w:shd w:val="clear" w:color="auto" w:fill="E8F4F5"/>
          </w:tcPr>
          <w:p>
            <w:r>
              <w:rPr>
                <w:sz w:val="18"/>
              </w:rPr>
              <w:t>Linear Accelerator (RM 22M); ICU expansion 30 beds (RM 18M); MRI upgrade (RM 12M); BMS/HVAC overhaul (RM 9.5M); IT (RM 7M)</w:t>
            </w:r>
          </w:p>
        </w:tc>
        <w:tc>
          <w:tcPr>
            <w:tcW w:type="dxa" w:w="2351"/>
            <w:shd w:val="clear" w:color="auto" w:fill="E8F4F5"/>
          </w:tcPr>
          <w:p>
            <w:r>
              <w:rPr>
                <w:sz w:val="18"/>
              </w:rPr>
              <w:t>Approved</w:t>
            </w:r>
          </w:p>
        </w:tc>
      </w:tr>
      <w:tr>
        <w:tc>
          <w:tcPr>
            <w:tcW w:type="dxa" w:w="2351"/>
            <w:shd w:val="clear" w:color="auto" w:fill="FFFFFF"/>
          </w:tcPr>
          <w:p>
            <w:r>
              <w:rPr>
                <w:sz w:val="18"/>
              </w:rPr>
              <w:t>Contoso Specialist Centre PJ</w:t>
            </w:r>
          </w:p>
        </w:tc>
        <w:tc>
          <w:tcPr>
            <w:tcW w:type="dxa" w:w="2351"/>
            <w:shd w:val="clear" w:color="auto" w:fill="FFFFFF"/>
          </w:tcPr>
          <w:p>
            <w:r>
              <w:rPr>
                <w:sz w:val="18"/>
              </w:rPr>
              <w:t>42.0</w:t>
            </w:r>
          </w:p>
        </w:tc>
        <w:tc>
          <w:tcPr>
            <w:tcW w:type="dxa" w:w="2351"/>
            <w:shd w:val="clear" w:color="auto" w:fill="FFFFFF"/>
          </w:tcPr>
          <w:p>
            <w:r>
              <w:rPr>
                <w:sz w:val="18"/>
              </w:rPr>
              <w:t>Catheterisation Lab 2nd unit (RM 18M); Robotic surgery system (RM 16M); Pharmacy automation (RM 5M); Solar PV (RM 3M)</w:t>
            </w:r>
          </w:p>
        </w:tc>
        <w:tc>
          <w:tcPr>
            <w:tcW w:type="dxa" w:w="2351"/>
            <w:shd w:val="clear" w:color="auto" w:fill="FFFFFF"/>
          </w:tcPr>
          <w:p>
            <w:r>
              <w:rPr>
                <w:sz w:val="18"/>
              </w:rPr>
              <w:t>Approved</w:t>
            </w:r>
          </w:p>
        </w:tc>
      </w:tr>
      <w:tr>
        <w:tc>
          <w:tcPr>
            <w:tcW w:type="dxa" w:w="2351"/>
            <w:shd w:val="clear" w:color="auto" w:fill="E8F4F5"/>
          </w:tcPr>
          <w:p>
            <w:r>
              <w:rPr>
                <w:sz w:val="18"/>
              </w:rPr>
              <w:t>Contoso Medical Centre Penang</w:t>
            </w:r>
          </w:p>
        </w:tc>
        <w:tc>
          <w:tcPr>
            <w:tcW w:type="dxa" w:w="2351"/>
            <w:shd w:val="clear" w:color="auto" w:fill="E8F4F5"/>
          </w:tcPr>
          <w:p>
            <w:r>
              <w:rPr>
                <w:sz w:val="18"/>
              </w:rPr>
              <w:t>28.5</w:t>
            </w:r>
          </w:p>
        </w:tc>
        <w:tc>
          <w:tcPr>
            <w:tcW w:type="dxa" w:w="2351"/>
            <w:shd w:val="clear" w:color="auto" w:fill="E8F4F5"/>
          </w:tcPr>
          <w:p>
            <w:r>
              <w:rPr>
                <w:sz w:val="18"/>
              </w:rPr>
              <w:t>Oncology Centre phase 2 (RM 15M); Day Surgery expansion (RM 8.5M); EHR upgrade (RM 5M)</w:t>
            </w:r>
          </w:p>
        </w:tc>
        <w:tc>
          <w:tcPr>
            <w:tcW w:type="dxa" w:w="2351"/>
            <w:shd w:val="clear" w:color="auto" w:fill="E8F4F5"/>
          </w:tcPr>
          <w:p>
            <w:r>
              <w:rPr>
                <w:sz w:val="18"/>
              </w:rPr>
              <w:t>Approved</w:t>
            </w:r>
          </w:p>
        </w:tc>
      </w:tr>
      <w:tr>
        <w:tc>
          <w:tcPr>
            <w:tcW w:type="dxa" w:w="2351"/>
            <w:shd w:val="clear" w:color="auto" w:fill="FFFFFF"/>
          </w:tcPr>
          <w:p>
            <w:r>
              <w:rPr>
                <w:sz w:val="18"/>
              </w:rPr>
              <w:t>Contoso City Hospital JB</w:t>
            </w:r>
          </w:p>
        </w:tc>
        <w:tc>
          <w:tcPr>
            <w:tcW w:type="dxa" w:w="2351"/>
            <w:shd w:val="clear" w:color="auto" w:fill="FFFFFF"/>
          </w:tcPr>
          <w:p>
            <w:r>
              <w:rPr>
                <w:sz w:val="18"/>
              </w:rPr>
              <w:t>22.0</w:t>
            </w:r>
          </w:p>
        </w:tc>
        <w:tc>
          <w:tcPr>
            <w:tcW w:type="dxa" w:w="2351"/>
            <w:shd w:val="clear" w:color="auto" w:fill="FFFFFF"/>
          </w:tcPr>
          <w:p>
            <w:r>
              <w:rPr>
                <w:sz w:val="18"/>
              </w:rPr>
              <w:t>Emergency Dept expansion (RM 10M); CT scanner (RM 7M); Staff accommodation (RM 5M)</w:t>
            </w:r>
          </w:p>
        </w:tc>
        <w:tc>
          <w:tcPr>
            <w:tcW w:type="dxa" w:w="2351"/>
            <w:shd w:val="clear" w:color="auto" w:fill="FFFFFF"/>
          </w:tcPr>
          <w:p>
            <w:r>
              <w:rPr>
                <w:sz w:val="18"/>
              </w:rPr>
              <w:t>Approved</w:t>
            </w:r>
          </w:p>
        </w:tc>
      </w:tr>
      <w:tr>
        <w:tc>
          <w:tcPr>
            <w:tcW w:type="dxa" w:w="2351"/>
            <w:shd w:val="clear" w:color="auto" w:fill="E8F4F5"/>
          </w:tcPr>
          <w:p>
            <w:r>
              <w:rPr>
                <w:sz w:val="18"/>
              </w:rPr>
              <w:t>Contoso Regional Hospital Ipoh</w:t>
            </w:r>
          </w:p>
        </w:tc>
        <w:tc>
          <w:tcPr>
            <w:tcW w:type="dxa" w:w="2351"/>
            <w:shd w:val="clear" w:color="auto" w:fill="E8F4F5"/>
          </w:tcPr>
          <w:p>
            <w:r>
              <w:rPr>
                <w:sz w:val="18"/>
              </w:rPr>
              <w:t>18.0</w:t>
            </w:r>
          </w:p>
        </w:tc>
        <w:tc>
          <w:tcPr>
            <w:tcW w:type="dxa" w:w="2351"/>
            <w:shd w:val="clear" w:color="auto" w:fill="E8F4F5"/>
          </w:tcPr>
          <w:p>
            <w:r>
              <w:rPr>
                <w:sz w:val="18"/>
              </w:rPr>
              <w:t>HVAC full replacement (RM 8M) [post-FY2025 failure]; Dialysis Centre (RM 6M); Solar PV (RM 4M)</w:t>
            </w:r>
          </w:p>
        </w:tc>
        <w:tc>
          <w:tcPr>
            <w:tcW w:type="dxa" w:w="2351"/>
            <w:shd w:val="clear" w:color="auto" w:fill="E8F4F5"/>
          </w:tcPr>
          <w:p>
            <w:r>
              <w:rPr>
                <w:sz w:val="18"/>
              </w:rPr>
              <w:t>Board Approved — Urgent</w:t>
            </w:r>
          </w:p>
        </w:tc>
      </w:tr>
      <w:tr>
        <w:tc>
          <w:tcPr>
            <w:tcW w:type="dxa" w:w="2351"/>
            <w:shd w:val="clear" w:color="auto" w:fill="FFFFFF"/>
          </w:tcPr>
          <w:p>
            <w:r>
              <w:rPr>
                <w:sz w:val="18"/>
              </w:rPr>
              <w:t>Contoso Community Hospital Subang</w:t>
            </w:r>
          </w:p>
        </w:tc>
        <w:tc>
          <w:tcPr>
            <w:tcW w:type="dxa" w:w="2351"/>
            <w:shd w:val="clear" w:color="auto" w:fill="FFFFFF"/>
          </w:tcPr>
          <w:p>
            <w:r>
              <w:rPr>
                <w:sz w:val="18"/>
              </w:rPr>
              <w:t>8.5</w:t>
            </w:r>
          </w:p>
        </w:tc>
        <w:tc>
          <w:tcPr>
            <w:tcW w:type="dxa" w:w="2351"/>
            <w:shd w:val="clear" w:color="auto" w:fill="FFFFFF"/>
          </w:tcPr>
          <w:p>
            <w:r>
              <w:rPr>
                <w:sz w:val="18"/>
              </w:rPr>
              <w:t>Occupancy recovery programme: GP clinic fit-out (RM 2.5M); Marketing (RM 1.5M); Carpark (RM 2.5M); BMS (RM 2M)</w:t>
            </w:r>
          </w:p>
        </w:tc>
        <w:tc>
          <w:tcPr>
            <w:tcW w:type="dxa" w:w="2351"/>
            <w:shd w:val="clear" w:color="auto" w:fill="FFFFFF"/>
          </w:tcPr>
          <w:p>
            <w:r>
              <w:rPr>
                <w:sz w:val="18"/>
              </w:rPr>
              <w:t>Under Review</w:t>
            </w:r>
          </w:p>
        </w:tc>
      </w:tr>
    </w:tbl>
    <w:p/>
    <w:p>
      <w:r>
        <w:br w:type="page"/>
      </w:r>
    </w:p>
    <w:p>
      <w:pPr>
        <w:pStyle w:val="Heading1"/>
        <w:spacing w:before="280" w:after="120"/>
      </w:pPr>
      <w:r>
        <w:rPr>
          <w:color w:val="007B8A"/>
          <w:sz w:val="30"/>
        </w:rPr>
        <w:t>POL-HR-003  Workforce Planning and Remuneration Policy</w:t>
      </w:r>
    </w:p>
    <w:p>
      <w:pPr>
        <w:pStyle w:val="Heading2"/>
        <w:spacing w:before="200" w:after="80"/>
      </w:pPr>
      <w:r>
        <w:rPr>
          <w:color w:val="003050"/>
          <w:sz w:val="24"/>
        </w:rPr>
        <w:t>1. Purpose</w:t>
      </w:r>
    </w:p>
    <w:p>
      <w:pPr>
        <w:spacing w:after="120"/>
      </w:pPr>
      <w:r>
        <w:rPr>
          <w:b w:val="0"/>
          <w:i w:val="0"/>
          <w:sz w:val="20"/>
        </w:rPr>
        <w:t>To define the principles governing headcount planning, position grading, pay structure, performance-linked remuneration, and total rewards across Contoso Healthcare Group, aligned with the Group People Strategy FY2025–2030.</w:t>
      </w:r>
    </w:p>
    <w:p>
      <w:pPr>
        <w:pStyle w:val="Heading2"/>
        <w:spacing w:before="200" w:after="80"/>
      </w:pPr>
      <w:r>
        <w:rPr>
          <w:color w:val="003050"/>
          <w:sz w:val="24"/>
        </w:rPr>
        <w:t>2. Headcount Ratios (Minimum Standards)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7B8A"/>
          </w:tcPr>
          <w:p>
            <w:pPr>
              <w:jc w:val="center"/>
            </w:pPr>
            <w:r>
              <w:rPr>
                <w:b/>
                <w:color w:val="FFFFFF"/>
                <w:sz w:val="18"/>
              </w:rPr>
              <w:t>Role Category</w:t>
            </w:r>
          </w:p>
        </w:tc>
        <w:tc>
          <w:tcPr>
            <w:tcW w:type="dxa" w:w="1881"/>
            <w:shd w:val="clear" w:color="auto" w:fill="007B8A"/>
          </w:tcPr>
          <w:p>
            <w:pPr>
              <w:jc w:val="center"/>
            </w:pPr>
            <w:r>
              <w:rPr>
                <w:b/>
                <w:color w:val="FFFFFF"/>
                <w:sz w:val="18"/>
              </w:rPr>
              <w:t>Ratio to Licensed Beds</w:t>
            </w:r>
          </w:p>
        </w:tc>
        <w:tc>
          <w:tcPr>
            <w:tcW w:type="dxa" w:w="1881"/>
            <w:shd w:val="clear" w:color="auto" w:fill="007B8A"/>
          </w:tcPr>
          <w:p>
            <w:pPr>
              <w:jc w:val="center"/>
            </w:pPr>
            <w:r>
              <w:rPr>
                <w:b/>
                <w:color w:val="FFFFFF"/>
                <w:sz w:val="18"/>
              </w:rPr>
              <w:t>Contoso Actual (FY2025)</w:t>
            </w:r>
          </w:p>
        </w:tc>
        <w:tc>
          <w:tcPr>
            <w:tcW w:type="dxa" w:w="1881"/>
            <w:shd w:val="clear" w:color="auto" w:fill="007B8A"/>
          </w:tcPr>
          <w:p>
            <w:pPr>
              <w:jc w:val="center"/>
            </w:pPr>
            <w:r>
              <w:rPr>
                <w:b/>
                <w:color w:val="FFFFFF"/>
                <w:sz w:val="18"/>
              </w:rPr>
              <w:t>Industry Benchmark</w:t>
            </w:r>
          </w:p>
        </w:tc>
        <w:tc>
          <w:tcPr>
            <w:tcW w:type="dxa" w:w="1881"/>
            <w:shd w:val="clear" w:color="auto" w:fill="007B8A"/>
          </w:tcPr>
          <w:p>
            <w:pPr>
              <w:jc w:val="center"/>
            </w:pPr>
            <w:r>
              <w:rPr>
                <w:b/>
                <w:color w:val="FFFFFF"/>
                <w:sz w:val="18"/>
              </w:rPr>
              <w:t>GAP</w:t>
            </w:r>
          </w:p>
        </w:tc>
      </w:tr>
      <w:tr>
        <w:tc>
          <w:tcPr>
            <w:tcW w:type="dxa" w:w="1881"/>
            <w:shd w:val="clear" w:color="auto" w:fill="E8F4F5"/>
          </w:tcPr>
          <w:p>
            <w:r>
              <w:rPr>
                <w:sz w:val="18"/>
              </w:rPr>
              <w:t>Registered Nurses</w:t>
            </w:r>
          </w:p>
        </w:tc>
        <w:tc>
          <w:tcPr>
            <w:tcW w:type="dxa" w:w="1881"/>
            <w:shd w:val="clear" w:color="auto" w:fill="E8F4F5"/>
          </w:tcPr>
          <w:p>
            <w:r>
              <w:rPr>
                <w:sz w:val="18"/>
              </w:rPr>
              <w:t>1.5 : 1 bed</w:t>
            </w:r>
          </w:p>
        </w:tc>
        <w:tc>
          <w:tcPr>
            <w:tcW w:type="dxa" w:w="1881"/>
            <w:shd w:val="clear" w:color="auto" w:fill="E8F4F5"/>
          </w:tcPr>
          <w:p>
            <w:r>
              <w:rPr>
                <w:sz w:val="18"/>
              </w:rPr>
              <w:t>1.62 : 1</w:t>
            </w:r>
          </w:p>
        </w:tc>
        <w:tc>
          <w:tcPr>
            <w:tcW w:type="dxa" w:w="1881"/>
            <w:shd w:val="clear" w:color="auto" w:fill="E8F4F5"/>
          </w:tcPr>
          <w:p>
            <w:r>
              <w:rPr>
                <w:sz w:val="18"/>
              </w:rPr>
              <w:t>1.5 : 1</w:t>
            </w:r>
          </w:p>
        </w:tc>
        <w:tc>
          <w:tcPr>
            <w:tcW w:type="dxa" w:w="1881"/>
            <w:shd w:val="clear" w:color="auto" w:fill="E8F4F5"/>
          </w:tcPr>
          <w:p>
            <w:r>
              <w:rPr>
                <w:sz w:val="18"/>
              </w:rPr>
              <w:t>Compliant (+8%)</w:t>
            </w:r>
          </w:p>
        </w:tc>
      </w:tr>
      <w:tr>
        <w:tc>
          <w:tcPr>
            <w:tcW w:type="dxa" w:w="1881"/>
            <w:shd w:val="clear" w:color="auto" w:fill="FFFFFF"/>
          </w:tcPr>
          <w:p>
            <w:r>
              <w:rPr>
                <w:sz w:val="18"/>
              </w:rPr>
              <w:t>Medical Officers/Registrars</w:t>
            </w:r>
          </w:p>
        </w:tc>
        <w:tc>
          <w:tcPr>
            <w:tcW w:type="dxa" w:w="1881"/>
            <w:shd w:val="clear" w:color="auto" w:fill="FFFFFF"/>
          </w:tcPr>
          <w:p>
            <w:r>
              <w:rPr>
                <w:sz w:val="18"/>
              </w:rPr>
              <w:t>0.18 : 1 bed</w:t>
            </w:r>
          </w:p>
        </w:tc>
        <w:tc>
          <w:tcPr>
            <w:tcW w:type="dxa" w:w="1881"/>
            <w:shd w:val="clear" w:color="auto" w:fill="FFFFFF"/>
          </w:tcPr>
          <w:p>
            <w:r>
              <w:rPr>
                <w:sz w:val="18"/>
              </w:rPr>
              <w:t>0.21 : 1</w:t>
            </w:r>
          </w:p>
        </w:tc>
        <w:tc>
          <w:tcPr>
            <w:tcW w:type="dxa" w:w="1881"/>
            <w:shd w:val="clear" w:color="auto" w:fill="FFFFFF"/>
          </w:tcPr>
          <w:p>
            <w:r>
              <w:rPr>
                <w:sz w:val="18"/>
              </w:rPr>
              <w:t>0.20 : 1</w:t>
            </w:r>
          </w:p>
        </w:tc>
        <w:tc>
          <w:tcPr>
            <w:tcW w:type="dxa" w:w="1881"/>
            <w:shd w:val="clear" w:color="auto" w:fill="FFFFFF"/>
          </w:tcPr>
          <w:p>
            <w:r>
              <w:rPr>
                <w:sz w:val="18"/>
              </w:rPr>
              <w:t>Compliant (+5%)</w:t>
            </w:r>
          </w:p>
        </w:tc>
      </w:tr>
      <w:tr>
        <w:tc>
          <w:tcPr>
            <w:tcW w:type="dxa" w:w="1881"/>
            <w:shd w:val="clear" w:color="auto" w:fill="E8F4F5"/>
          </w:tcPr>
          <w:p>
            <w:r>
              <w:rPr>
                <w:sz w:val="18"/>
              </w:rPr>
              <w:t>Allied Health Professionals</w:t>
            </w:r>
          </w:p>
        </w:tc>
        <w:tc>
          <w:tcPr>
            <w:tcW w:type="dxa" w:w="1881"/>
            <w:shd w:val="clear" w:color="auto" w:fill="E8F4F5"/>
          </w:tcPr>
          <w:p>
            <w:r>
              <w:rPr>
                <w:sz w:val="18"/>
              </w:rPr>
              <w:t>0.22 : 1 bed</w:t>
            </w:r>
          </w:p>
        </w:tc>
        <w:tc>
          <w:tcPr>
            <w:tcW w:type="dxa" w:w="1881"/>
            <w:shd w:val="clear" w:color="auto" w:fill="E8F4F5"/>
          </w:tcPr>
          <w:p>
            <w:r>
              <w:rPr>
                <w:sz w:val="18"/>
              </w:rPr>
              <w:t>0.19 : 1</w:t>
            </w:r>
          </w:p>
        </w:tc>
        <w:tc>
          <w:tcPr>
            <w:tcW w:type="dxa" w:w="1881"/>
            <w:shd w:val="clear" w:color="auto" w:fill="E8F4F5"/>
          </w:tcPr>
          <w:p>
            <w:r>
              <w:rPr>
                <w:sz w:val="18"/>
              </w:rPr>
              <w:t>0.22 : 1</w:t>
            </w:r>
          </w:p>
        </w:tc>
        <w:tc>
          <w:tcPr>
            <w:tcW w:type="dxa" w:w="1881"/>
            <w:shd w:val="clear" w:color="auto" w:fill="E8F4F5"/>
          </w:tcPr>
          <w:p>
            <w:r>
              <w:rPr>
                <w:sz w:val="18"/>
              </w:rPr>
              <w:t>⚠ Gap (−14%)</w:t>
            </w:r>
          </w:p>
        </w:tc>
      </w:tr>
      <w:tr>
        <w:tc>
          <w:tcPr>
            <w:tcW w:type="dxa" w:w="1881"/>
            <w:shd w:val="clear" w:color="auto" w:fill="FFFFFF"/>
          </w:tcPr>
          <w:p>
            <w:r>
              <w:rPr>
                <w:sz w:val="18"/>
              </w:rPr>
              <w:t>Pharmacists</w:t>
            </w:r>
          </w:p>
        </w:tc>
        <w:tc>
          <w:tcPr>
            <w:tcW w:type="dxa" w:w="1881"/>
            <w:shd w:val="clear" w:color="auto" w:fill="FFFFFF"/>
          </w:tcPr>
          <w:p>
            <w:r>
              <w:rPr>
                <w:sz w:val="18"/>
              </w:rPr>
              <w:t>1 per 50 beds</w:t>
            </w:r>
          </w:p>
        </w:tc>
        <w:tc>
          <w:tcPr>
            <w:tcW w:type="dxa" w:w="1881"/>
            <w:shd w:val="clear" w:color="auto" w:fill="FFFFFF"/>
          </w:tcPr>
          <w:p>
            <w:r>
              <w:rPr>
                <w:sz w:val="18"/>
              </w:rPr>
              <w:t>1 per 47 beds</w:t>
            </w:r>
          </w:p>
        </w:tc>
        <w:tc>
          <w:tcPr>
            <w:tcW w:type="dxa" w:w="1881"/>
            <w:shd w:val="clear" w:color="auto" w:fill="FFFFFF"/>
          </w:tcPr>
          <w:p>
            <w:r>
              <w:rPr>
                <w:sz w:val="18"/>
              </w:rPr>
              <w:t>1 per 50 beds</w:t>
            </w:r>
          </w:p>
        </w:tc>
        <w:tc>
          <w:tcPr>
            <w:tcW w:type="dxa" w:w="1881"/>
            <w:shd w:val="clear" w:color="auto" w:fill="FFFFFF"/>
          </w:tcPr>
          <w:p>
            <w:r>
              <w:rPr>
                <w:sz w:val="18"/>
              </w:rPr>
              <w:t>Compliant</w:t>
            </w:r>
          </w:p>
        </w:tc>
      </w:tr>
      <w:tr>
        <w:tc>
          <w:tcPr>
            <w:tcW w:type="dxa" w:w="1881"/>
            <w:shd w:val="clear" w:color="auto" w:fill="E8F4F5"/>
          </w:tcPr>
          <w:p>
            <w:r>
              <w:rPr>
                <w:sz w:val="18"/>
              </w:rPr>
              <w:t>Administrative/Support</w:t>
            </w:r>
          </w:p>
        </w:tc>
        <w:tc>
          <w:tcPr>
            <w:tcW w:type="dxa" w:w="1881"/>
            <w:shd w:val="clear" w:color="auto" w:fill="E8F4F5"/>
          </w:tcPr>
          <w:p>
            <w:r>
              <w:rPr>
                <w:sz w:val="18"/>
              </w:rPr>
              <w:t>0.35 : 1 bed</w:t>
            </w:r>
          </w:p>
        </w:tc>
        <w:tc>
          <w:tcPr>
            <w:tcW w:type="dxa" w:w="1881"/>
            <w:shd w:val="clear" w:color="auto" w:fill="E8F4F5"/>
          </w:tcPr>
          <w:p>
            <w:r>
              <w:rPr>
                <w:sz w:val="18"/>
              </w:rPr>
              <w:t>0.38 : 1</w:t>
            </w:r>
          </w:p>
        </w:tc>
        <w:tc>
          <w:tcPr>
            <w:tcW w:type="dxa" w:w="1881"/>
            <w:shd w:val="clear" w:color="auto" w:fill="E8F4F5"/>
          </w:tcPr>
          <w:p>
            <w:r>
              <w:rPr>
                <w:sz w:val="18"/>
              </w:rPr>
              <w:t>0.32 : 1</w:t>
            </w:r>
          </w:p>
        </w:tc>
        <w:tc>
          <w:tcPr>
            <w:tcW w:type="dxa" w:w="1881"/>
            <w:shd w:val="clear" w:color="auto" w:fill="E8F4F5"/>
          </w:tcPr>
          <w:p>
            <w:r>
              <w:rPr>
                <w:sz w:val="18"/>
              </w:rPr>
              <w:t>Above benchmark (+19%); review for efficiency</w:t>
            </w:r>
          </w:p>
        </w:tc>
      </w:tr>
    </w:tbl>
    <w:p/>
    <w:p>
      <w:pPr>
        <w:pStyle w:val="Heading2"/>
        <w:spacing w:before="200" w:after="80"/>
      </w:pPr>
      <w:r>
        <w:rPr>
          <w:color w:val="003050"/>
          <w:sz w:val="24"/>
        </w:rPr>
        <w:t>3. Remuneration Structure</w:t>
      </w:r>
    </w:p>
    <w:p>
      <w:pPr>
        <w:pStyle w:val="ListBullet"/>
        <w:spacing w:after="40"/>
      </w:pPr>
      <w:r>
        <w:rPr>
          <w:sz w:val="20"/>
        </w:rPr>
        <w:t>Pay bands reviewed annually against Korn Ferry Malaysia Healthcare benchmark survey.</w:t>
      </w:r>
    </w:p>
    <w:p>
      <w:pPr>
        <w:pStyle w:val="ListBullet"/>
        <w:spacing w:after="40"/>
      </w:pPr>
      <w:r>
        <w:rPr>
          <w:sz w:val="20"/>
        </w:rPr>
        <w:t>Performance-Linked Incentive (PLI): 10–30% of base salary; KPIs include patient NPS, occupancy, cost efficiency, and clinical quality indicators.</w:t>
      </w:r>
    </w:p>
    <w:p>
      <w:pPr>
        <w:pStyle w:val="ListBullet"/>
        <w:spacing w:after="40"/>
      </w:pPr>
      <w:r>
        <w:rPr>
          <w:sz w:val="20"/>
        </w:rPr>
        <w:t>Retention Bonus: payable at 24-month milestone for nurses and specialists in shortage categories.</w:t>
      </w:r>
    </w:p>
    <w:p>
      <w:pPr>
        <w:pStyle w:val="ListBullet"/>
        <w:spacing w:after="40"/>
      </w:pPr>
      <w:r>
        <w:rPr>
          <w:sz w:val="20"/>
        </w:rPr>
        <w:t>Medical specialist revenue-sharing: Guaranteed base (60%) + sessional fee (40% of billing above threshold) for panel specialists.</w:t>
      </w:r>
    </w:p>
    <w:p>
      <w:pPr>
        <w:pStyle w:val="Heading2"/>
        <w:spacing w:before="200" w:after="80"/>
      </w:pPr>
      <w:r>
        <w:rPr>
          <w:color w:val="003050"/>
          <w:sz w:val="24"/>
        </w:rPr>
        <w:t>4. Key Workforce Risks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7B8A"/>
          </w:tcPr>
          <w:p>
            <w:pPr>
              <w:jc w:val="center"/>
            </w:pPr>
            <w:r>
              <w:rPr>
                <w:b/>
                <w:color w:val="FFFFFF"/>
                <w:sz w:val="18"/>
              </w:rPr>
              <w:t>Risk</w:t>
            </w:r>
          </w:p>
        </w:tc>
        <w:tc>
          <w:tcPr>
            <w:tcW w:type="dxa" w:w="2351"/>
            <w:shd w:val="clear" w:color="auto" w:fill="007B8A"/>
          </w:tcPr>
          <w:p>
            <w:pPr>
              <w:jc w:val="center"/>
            </w:pPr>
            <w:r>
              <w:rPr>
                <w:b/>
                <w:color w:val="FFFFFF"/>
                <w:sz w:val="18"/>
              </w:rPr>
              <w:t>Severity</w:t>
            </w:r>
          </w:p>
        </w:tc>
        <w:tc>
          <w:tcPr>
            <w:tcW w:type="dxa" w:w="2351"/>
            <w:shd w:val="clear" w:color="auto" w:fill="007B8A"/>
          </w:tcPr>
          <w:p>
            <w:pPr>
              <w:jc w:val="center"/>
            </w:pPr>
            <w:r>
              <w:rPr>
                <w:b/>
                <w:color w:val="FFFFFF"/>
                <w:sz w:val="18"/>
              </w:rPr>
              <w:t>Current Mitigation</w:t>
            </w:r>
          </w:p>
        </w:tc>
        <w:tc>
          <w:tcPr>
            <w:tcW w:type="dxa" w:w="2351"/>
            <w:shd w:val="clear" w:color="auto" w:fill="007B8A"/>
          </w:tcPr>
          <w:p>
            <w:pPr>
              <w:jc w:val="center"/>
            </w:pPr>
            <w:r>
              <w:rPr>
                <w:b/>
                <w:color w:val="FFFFFF"/>
                <w:sz w:val="18"/>
              </w:rPr>
              <w:t>Escalation Owner</w:t>
            </w:r>
          </w:p>
        </w:tc>
      </w:tr>
      <w:tr>
        <w:tc>
          <w:tcPr>
            <w:tcW w:type="dxa" w:w="2351"/>
            <w:shd w:val="clear" w:color="auto" w:fill="E8F4F5"/>
          </w:tcPr>
          <w:p>
            <w:r>
              <w:rPr>
                <w:sz w:val="18"/>
              </w:rPr>
              <w:t>Nurse shortage — Subang Community Hospital</w:t>
            </w:r>
          </w:p>
        </w:tc>
        <w:tc>
          <w:tcPr>
            <w:tcW w:type="dxa" w:w="2351"/>
            <w:shd w:val="clear" w:color="auto" w:fill="E8F4F5"/>
          </w:tcPr>
          <w:p>
            <w:r>
              <w:rPr>
                <w:sz w:val="18"/>
              </w:rPr>
              <w:t>HIGH</w:t>
            </w:r>
          </w:p>
        </w:tc>
        <w:tc>
          <w:tcPr>
            <w:tcW w:type="dxa" w:w="2351"/>
            <w:shd w:val="clear" w:color="auto" w:fill="E8F4F5"/>
          </w:tcPr>
          <w:p>
            <w:r>
              <w:rPr>
                <w:sz w:val="18"/>
              </w:rPr>
              <w:t>Fast-track hire from Philippines; agency top-up</w:t>
            </w:r>
          </w:p>
        </w:tc>
        <w:tc>
          <w:tcPr>
            <w:tcW w:type="dxa" w:w="2351"/>
            <w:shd w:val="clear" w:color="auto" w:fill="E8F4F5"/>
          </w:tcPr>
          <w:p>
            <w:r>
              <w:rPr>
                <w:sz w:val="18"/>
              </w:rPr>
              <w:t>CHRO + Hospital CEO</w:t>
            </w:r>
          </w:p>
        </w:tc>
      </w:tr>
      <w:tr>
        <w:tc>
          <w:tcPr>
            <w:tcW w:type="dxa" w:w="2351"/>
            <w:shd w:val="clear" w:color="auto" w:fill="FFFFFF"/>
          </w:tcPr>
          <w:p>
            <w:r>
              <w:rPr>
                <w:sz w:val="18"/>
              </w:rPr>
              <w:t>Specialist attrition — Ipoh (post-HVAC incident)</w:t>
            </w:r>
          </w:p>
        </w:tc>
        <w:tc>
          <w:tcPr>
            <w:tcW w:type="dxa" w:w="2351"/>
            <w:shd w:val="clear" w:color="auto" w:fill="FFFFFF"/>
          </w:tcPr>
          <w:p>
            <w:r>
              <w:rPr>
                <w:sz w:val="18"/>
              </w:rPr>
              <w:t>MEDIUM</w:t>
            </w:r>
          </w:p>
        </w:tc>
        <w:tc>
          <w:tcPr>
            <w:tcW w:type="dxa" w:w="2351"/>
            <w:shd w:val="clear" w:color="auto" w:fill="FFFFFF"/>
          </w:tcPr>
          <w:p>
            <w:r>
              <w:rPr>
                <w:sz w:val="18"/>
              </w:rPr>
              <w:t>Retention bonus RM 30K; facility upgrade committed</w:t>
            </w:r>
          </w:p>
        </w:tc>
        <w:tc>
          <w:tcPr>
            <w:tcW w:type="dxa" w:w="2351"/>
            <w:shd w:val="clear" w:color="auto" w:fill="FFFFFF"/>
          </w:tcPr>
          <w:p>
            <w:r>
              <w:rPr>
                <w:sz w:val="18"/>
              </w:rPr>
              <w:t>Group CEO + CHRO</w:t>
            </w:r>
          </w:p>
        </w:tc>
      </w:tr>
      <w:tr>
        <w:tc>
          <w:tcPr>
            <w:tcW w:type="dxa" w:w="2351"/>
            <w:shd w:val="clear" w:color="auto" w:fill="E8F4F5"/>
          </w:tcPr>
          <w:p>
            <w:r>
              <w:rPr>
                <w:sz w:val="18"/>
              </w:rPr>
              <w:t>Allied Health gap across Group</w:t>
            </w:r>
          </w:p>
        </w:tc>
        <w:tc>
          <w:tcPr>
            <w:tcW w:type="dxa" w:w="2351"/>
            <w:shd w:val="clear" w:color="auto" w:fill="E8F4F5"/>
          </w:tcPr>
          <w:p>
            <w:r>
              <w:rPr>
                <w:sz w:val="18"/>
              </w:rPr>
              <w:t>MEDIUM</w:t>
            </w:r>
          </w:p>
        </w:tc>
        <w:tc>
          <w:tcPr>
            <w:tcW w:type="dxa" w:w="2351"/>
            <w:shd w:val="clear" w:color="auto" w:fill="E8F4F5"/>
          </w:tcPr>
          <w:p>
            <w:r>
              <w:rPr>
                <w:sz w:val="18"/>
              </w:rPr>
              <w:t>Scholarship for physiotherapy, occupational therapy; bond 3 years</w:t>
            </w:r>
          </w:p>
        </w:tc>
        <w:tc>
          <w:tcPr>
            <w:tcW w:type="dxa" w:w="2351"/>
            <w:shd w:val="clear" w:color="auto" w:fill="E8F4F5"/>
          </w:tcPr>
          <w:p>
            <w:r>
              <w:rPr>
                <w:sz w:val="18"/>
              </w:rPr>
              <w:t>Group Head of Talent</w:t>
            </w:r>
          </w:p>
        </w:tc>
      </w:tr>
      <w:tr>
        <w:tc>
          <w:tcPr>
            <w:tcW w:type="dxa" w:w="2351"/>
            <w:shd w:val="clear" w:color="auto" w:fill="FFFFFF"/>
          </w:tcPr>
          <w:p>
            <w:r>
              <w:rPr>
                <w:sz w:val="18"/>
              </w:rPr>
              <w:t>Medical Officer overtime (KL &amp; PJ)</w:t>
            </w:r>
          </w:p>
        </w:tc>
        <w:tc>
          <w:tcPr>
            <w:tcW w:type="dxa" w:w="2351"/>
            <w:shd w:val="clear" w:color="auto" w:fill="FFFFFF"/>
          </w:tcPr>
          <w:p>
            <w:r>
              <w:rPr>
                <w:sz w:val="18"/>
              </w:rPr>
              <w:t>LOW-MED</w:t>
            </w:r>
          </w:p>
        </w:tc>
        <w:tc>
          <w:tcPr>
            <w:tcW w:type="dxa" w:w="2351"/>
            <w:shd w:val="clear" w:color="auto" w:fill="FFFFFF"/>
          </w:tcPr>
          <w:p>
            <w:r>
              <w:rPr>
                <w:sz w:val="18"/>
              </w:rPr>
              <w:t>Locum usage; medical officer expansion plan FY2026</w:t>
            </w:r>
          </w:p>
        </w:tc>
        <w:tc>
          <w:tcPr>
            <w:tcW w:type="dxa" w:w="2351"/>
            <w:shd w:val="clear" w:color="auto" w:fill="FFFFFF"/>
          </w:tcPr>
          <w:p>
            <w:r>
              <w:rPr>
                <w:sz w:val="18"/>
              </w:rPr>
              <w:t>Hospital Medical Directors</w:t>
            </w:r>
          </w:p>
        </w:tc>
      </w:tr>
    </w:tbl>
    <w:p/>
    <w:p>
      <w:r>
        <w:br w:type="page"/>
      </w:r>
    </w:p>
    <w:p>
      <w:pPr>
        <w:pStyle w:val="Heading1"/>
        <w:spacing w:before="280" w:after="120"/>
      </w:pPr>
      <w:r>
        <w:rPr>
          <w:color w:val="007B8A"/>
          <w:sz w:val="30"/>
        </w:rPr>
        <w:t>POL-CQ-004  Clinical Quality and Patient Safety Policy</w:t>
      </w:r>
    </w:p>
    <w:p>
      <w:pPr>
        <w:pStyle w:val="Heading2"/>
        <w:spacing w:before="200" w:after="80"/>
      </w:pPr>
      <w:r>
        <w:rPr>
          <w:color w:val="003050"/>
          <w:sz w:val="24"/>
        </w:rPr>
        <w:t>1. Purpose and Accreditation Framework</w:t>
      </w:r>
    </w:p>
    <w:p>
      <w:pPr>
        <w:spacing w:after="120"/>
      </w:pPr>
      <w:r>
        <w:rPr>
          <w:b w:val="0"/>
          <w:i w:val="0"/>
          <w:sz w:val="20"/>
        </w:rPr>
        <w:t>All Contoso Healthcare Group hospitals operate under the Malaysian Society for Quality in Health (MSQH) 5th Edition accreditation standards. Contoso General Hospital KL, Contoso Specialist Centre PJ, and Contoso Medical Centre Penang additionally hold JCI (Joint Commission International) accreditation. This policy mandates minimum quality metrics, sentinel event reporting, and continuous improvement obligations for all hospitals.</w:t>
      </w:r>
    </w:p>
    <w:p>
      <w:pPr>
        <w:pStyle w:val="Heading2"/>
        <w:spacing w:before="200" w:after="80"/>
      </w:pPr>
      <w:r>
        <w:rPr>
          <w:color w:val="003050"/>
          <w:sz w:val="24"/>
        </w:rPr>
        <w:t>2. Mandatory Quality KPIs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7B8A"/>
          </w:tcPr>
          <w:p>
            <w:pPr>
              <w:jc w:val="center"/>
            </w:pPr>
            <w:r>
              <w:rPr>
                <w:b/>
                <w:color w:val="FFFFFF"/>
                <w:sz w:val="18"/>
              </w:rPr>
              <w:t>Metric</w:t>
            </w:r>
          </w:p>
        </w:tc>
        <w:tc>
          <w:tcPr>
            <w:tcW w:type="dxa" w:w="1881"/>
            <w:shd w:val="clear" w:color="auto" w:fill="007B8A"/>
          </w:tcPr>
          <w:p>
            <w:pPr>
              <w:jc w:val="center"/>
            </w:pPr>
            <w:r>
              <w:rPr>
                <w:b/>
                <w:color w:val="FFFFFF"/>
                <w:sz w:val="18"/>
              </w:rPr>
              <w:t>FY2026 Target</w:t>
            </w:r>
          </w:p>
        </w:tc>
        <w:tc>
          <w:tcPr>
            <w:tcW w:type="dxa" w:w="1881"/>
            <w:shd w:val="clear" w:color="auto" w:fill="007B8A"/>
          </w:tcPr>
          <w:p>
            <w:pPr>
              <w:jc w:val="center"/>
            </w:pPr>
            <w:r>
              <w:rPr>
                <w:b/>
                <w:color w:val="FFFFFF"/>
                <w:sz w:val="18"/>
              </w:rPr>
              <w:t>FY2025 Actual</w:t>
            </w:r>
          </w:p>
        </w:tc>
        <w:tc>
          <w:tcPr>
            <w:tcW w:type="dxa" w:w="1881"/>
            <w:shd w:val="clear" w:color="auto" w:fill="007B8A"/>
          </w:tcPr>
          <w:p>
            <w:pPr>
              <w:jc w:val="center"/>
            </w:pPr>
            <w:r>
              <w:rPr>
                <w:b/>
                <w:color w:val="FFFFFF"/>
                <w:sz w:val="18"/>
              </w:rPr>
              <w:t>Data Source</w:t>
            </w:r>
          </w:p>
        </w:tc>
        <w:tc>
          <w:tcPr>
            <w:tcW w:type="dxa" w:w="1881"/>
            <w:shd w:val="clear" w:color="auto" w:fill="007B8A"/>
          </w:tcPr>
          <w:p>
            <w:pPr>
              <w:jc w:val="center"/>
            </w:pPr>
            <w:r>
              <w:rPr>
                <w:b/>
                <w:color w:val="FFFFFF"/>
                <w:sz w:val="18"/>
              </w:rPr>
              <w:t>Review Frequency</w:t>
            </w:r>
          </w:p>
        </w:tc>
      </w:tr>
      <w:tr>
        <w:tc>
          <w:tcPr>
            <w:tcW w:type="dxa" w:w="1881"/>
            <w:shd w:val="clear" w:color="auto" w:fill="E8F4F5"/>
          </w:tcPr>
          <w:p>
            <w:r>
              <w:rPr>
                <w:sz w:val="18"/>
              </w:rPr>
              <w:t>Hospital Standardised Mortality Ratio (HSMR)</w:t>
            </w:r>
          </w:p>
        </w:tc>
        <w:tc>
          <w:tcPr>
            <w:tcW w:type="dxa" w:w="1881"/>
            <w:shd w:val="clear" w:color="auto" w:fill="E8F4F5"/>
          </w:tcPr>
          <w:p>
            <w:r>
              <w:rPr>
                <w:sz w:val="18"/>
              </w:rPr>
              <w:t>&lt;85</w:t>
            </w:r>
          </w:p>
        </w:tc>
        <w:tc>
          <w:tcPr>
            <w:tcW w:type="dxa" w:w="1881"/>
            <w:shd w:val="clear" w:color="auto" w:fill="E8F4F5"/>
          </w:tcPr>
          <w:p>
            <w:r>
              <w:rPr>
                <w:sz w:val="18"/>
              </w:rPr>
              <w:t>87 (KL: 82; PJ: 84; Ipoh: 96)</w:t>
            </w:r>
          </w:p>
        </w:tc>
        <w:tc>
          <w:tcPr>
            <w:tcW w:type="dxa" w:w="1881"/>
            <w:shd w:val="clear" w:color="auto" w:fill="E8F4F5"/>
          </w:tcPr>
          <w:p>
            <w:r>
              <w:rPr>
                <w:sz w:val="18"/>
              </w:rPr>
              <w:t>Clinical Coding; ICD-10</w:t>
            </w:r>
          </w:p>
        </w:tc>
        <w:tc>
          <w:tcPr>
            <w:tcW w:type="dxa" w:w="1881"/>
            <w:shd w:val="clear" w:color="auto" w:fill="E8F4F5"/>
          </w:tcPr>
          <w:p>
            <w:r>
              <w:rPr>
                <w:sz w:val="18"/>
              </w:rPr>
              <w:t>Quarterly</w:t>
            </w:r>
          </w:p>
        </w:tc>
      </w:tr>
      <w:tr>
        <w:tc>
          <w:tcPr>
            <w:tcW w:type="dxa" w:w="1881"/>
            <w:shd w:val="clear" w:color="auto" w:fill="FFFFFF"/>
          </w:tcPr>
          <w:p>
            <w:r>
              <w:rPr>
                <w:sz w:val="18"/>
              </w:rPr>
              <w:t>Surgical Site Infection Rate (per 100 procedures)</w:t>
            </w:r>
          </w:p>
        </w:tc>
        <w:tc>
          <w:tcPr>
            <w:tcW w:type="dxa" w:w="1881"/>
            <w:shd w:val="clear" w:color="auto" w:fill="FFFFFF"/>
          </w:tcPr>
          <w:p>
            <w:r>
              <w:rPr>
                <w:sz w:val="18"/>
              </w:rPr>
              <w:t>&lt;1.2</w:t>
            </w:r>
          </w:p>
        </w:tc>
        <w:tc>
          <w:tcPr>
            <w:tcW w:type="dxa" w:w="1881"/>
            <w:shd w:val="clear" w:color="auto" w:fill="FFFFFF"/>
          </w:tcPr>
          <w:p>
            <w:r>
              <w:rPr>
                <w:sz w:val="18"/>
              </w:rPr>
              <w:t>1.4</w:t>
            </w:r>
          </w:p>
        </w:tc>
        <w:tc>
          <w:tcPr>
            <w:tcW w:type="dxa" w:w="1881"/>
            <w:shd w:val="clear" w:color="auto" w:fill="FFFFFF"/>
          </w:tcPr>
          <w:p>
            <w:r>
              <w:rPr>
                <w:sz w:val="18"/>
              </w:rPr>
              <w:t>Infection Control Committee</w:t>
            </w:r>
          </w:p>
        </w:tc>
        <w:tc>
          <w:tcPr>
            <w:tcW w:type="dxa" w:w="1881"/>
            <w:shd w:val="clear" w:color="auto" w:fill="FFFFFF"/>
          </w:tcPr>
          <w:p>
            <w:r>
              <w:rPr>
                <w:sz w:val="18"/>
              </w:rPr>
              <w:t>Monthly</w:t>
            </w:r>
          </w:p>
        </w:tc>
      </w:tr>
      <w:tr>
        <w:tc>
          <w:tcPr>
            <w:tcW w:type="dxa" w:w="1881"/>
            <w:shd w:val="clear" w:color="auto" w:fill="E8F4F5"/>
          </w:tcPr>
          <w:p>
            <w:r>
              <w:rPr>
                <w:sz w:val="18"/>
              </w:rPr>
              <w:t>Medication Error Rate (per 1,000 patient-days)</w:t>
            </w:r>
          </w:p>
        </w:tc>
        <w:tc>
          <w:tcPr>
            <w:tcW w:type="dxa" w:w="1881"/>
            <w:shd w:val="clear" w:color="auto" w:fill="E8F4F5"/>
          </w:tcPr>
          <w:p>
            <w:r>
              <w:rPr>
                <w:sz w:val="18"/>
              </w:rPr>
              <w:t>&lt;0.5</w:t>
            </w:r>
          </w:p>
        </w:tc>
        <w:tc>
          <w:tcPr>
            <w:tcW w:type="dxa" w:w="1881"/>
            <w:shd w:val="clear" w:color="auto" w:fill="E8F4F5"/>
          </w:tcPr>
          <w:p>
            <w:r>
              <w:rPr>
                <w:sz w:val="18"/>
              </w:rPr>
              <w:t>0.68</w:t>
            </w:r>
          </w:p>
        </w:tc>
        <w:tc>
          <w:tcPr>
            <w:tcW w:type="dxa" w:w="1881"/>
            <w:shd w:val="clear" w:color="auto" w:fill="E8F4F5"/>
          </w:tcPr>
          <w:p>
            <w:r>
              <w:rPr>
                <w:sz w:val="18"/>
              </w:rPr>
              <w:t>Pharmacy &amp; Nursing Reports</w:t>
            </w:r>
          </w:p>
        </w:tc>
        <w:tc>
          <w:tcPr>
            <w:tcW w:type="dxa" w:w="1881"/>
            <w:shd w:val="clear" w:color="auto" w:fill="E8F4F5"/>
          </w:tcPr>
          <w:p>
            <w:r>
              <w:rPr>
                <w:sz w:val="18"/>
              </w:rPr>
              <w:t>Monthly</w:t>
            </w:r>
          </w:p>
        </w:tc>
      </w:tr>
      <w:tr>
        <w:tc>
          <w:tcPr>
            <w:tcW w:type="dxa" w:w="1881"/>
            <w:shd w:val="clear" w:color="auto" w:fill="FFFFFF"/>
          </w:tcPr>
          <w:p>
            <w:r>
              <w:rPr>
                <w:sz w:val="18"/>
              </w:rPr>
              <w:t>Hand Hygiene Compliance (%)</w:t>
            </w:r>
          </w:p>
        </w:tc>
        <w:tc>
          <w:tcPr>
            <w:tcW w:type="dxa" w:w="1881"/>
            <w:shd w:val="clear" w:color="auto" w:fill="FFFFFF"/>
          </w:tcPr>
          <w:p>
            <w:r>
              <w:rPr>
                <w:sz w:val="18"/>
              </w:rPr>
              <w:t>≥90</w:t>
            </w:r>
          </w:p>
        </w:tc>
        <w:tc>
          <w:tcPr>
            <w:tcW w:type="dxa" w:w="1881"/>
            <w:shd w:val="clear" w:color="auto" w:fill="FFFFFF"/>
          </w:tcPr>
          <w:p>
            <w:r>
              <w:rPr>
                <w:sz w:val="18"/>
              </w:rPr>
              <w:t>84 (improving)</w:t>
            </w:r>
          </w:p>
        </w:tc>
        <w:tc>
          <w:tcPr>
            <w:tcW w:type="dxa" w:w="1881"/>
            <w:shd w:val="clear" w:color="auto" w:fill="FFFFFF"/>
          </w:tcPr>
          <w:p>
            <w:r>
              <w:rPr>
                <w:sz w:val="18"/>
              </w:rPr>
              <w:t>Covert observation audits</w:t>
            </w:r>
          </w:p>
        </w:tc>
        <w:tc>
          <w:tcPr>
            <w:tcW w:type="dxa" w:w="1881"/>
            <w:shd w:val="clear" w:color="auto" w:fill="FFFFFF"/>
          </w:tcPr>
          <w:p>
            <w:r>
              <w:rPr>
                <w:sz w:val="18"/>
              </w:rPr>
              <w:t>Monthly</w:t>
            </w:r>
          </w:p>
        </w:tc>
      </w:tr>
      <w:tr>
        <w:tc>
          <w:tcPr>
            <w:tcW w:type="dxa" w:w="1881"/>
            <w:shd w:val="clear" w:color="auto" w:fill="E8F4F5"/>
          </w:tcPr>
          <w:p>
            <w:r>
              <w:rPr>
                <w:sz w:val="18"/>
              </w:rPr>
              <w:t>Patient Falls Rate (per 1,000 patient-days)</w:t>
            </w:r>
          </w:p>
        </w:tc>
        <w:tc>
          <w:tcPr>
            <w:tcW w:type="dxa" w:w="1881"/>
            <w:shd w:val="clear" w:color="auto" w:fill="E8F4F5"/>
          </w:tcPr>
          <w:p>
            <w:r>
              <w:rPr>
                <w:sz w:val="18"/>
              </w:rPr>
              <w:t>&lt;2.5</w:t>
            </w:r>
          </w:p>
        </w:tc>
        <w:tc>
          <w:tcPr>
            <w:tcW w:type="dxa" w:w="1881"/>
            <w:shd w:val="clear" w:color="auto" w:fill="E8F4F5"/>
          </w:tcPr>
          <w:p>
            <w:r>
              <w:rPr>
                <w:sz w:val="18"/>
              </w:rPr>
              <w:t>2.8</w:t>
            </w:r>
          </w:p>
        </w:tc>
        <w:tc>
          <w:tcPr>
            <w:tcW w:type="dxa" w:w="1881"/>
            <w:shd w:val="clear" w:color="auto" w:fill="E8F4F5"/>
          </w:tcPr>
          <w:p>
            <w:r>
              <w:rPr>
                <w:sz w:val="18"/>
              </w:rPr>
              <w:t>Incident Reporting System</w:t>
            </w:r>
          </w:p>
        </w:tc>
        <w:tc>
          <w:tcPr>
            <w:tcW w:type="dxa" w:w="1881"/>
            <w:shd w:val="clear" w:color="auto" w:fill="E8F4F5"/>
          </w:tcPr>
          <w:p>
            <w:r>
              <w:rPr>
                <w:sz w:val="18"/>
              </w:rPr>
              <w:t>Monthly</w:t>
            </w:r>
          </w:p>
        </w:tc>
      </w:tr>
      <w:tr>
        <w:tc>
          <w:tcPr>
            <w:tcW w:type="dxa" w:w="1881"/>
            <w:shd w:val="clear" w:color="auto" w:fill="FFFFFF"/>
          </w:tcPr>
          <w:p>
            <w:r>
              <w:rPr>
                <w:sz w:val="18"/>
              </w:rPr>
              <w:t>Unplanned 30-day Readmission Rate (%)</w:t>
            </w:r>
          </w:p>
        </w:tc>
        <w:tc>
          <w:tcPr>
            <w:tcW w:type="dxa" w:w="1881"/>
            <w:shd w:val="clear" w:color="auto" w:fill="FFFFFF"/>
          </w:tcPr>
          <w:p>
            <w:r>
              <w:rPr>
                <w:sz w:val="18"/>
              </w:rPr>
              <w:t>&lt;8.0</w:t>
            </w:r>
          </w:p>
        </w:tc>
        <w:tc>
          <w:tcPr>
            <w:tcW w:type="dxa" w:w="1881"/>
            <w:shd w:val="clear" w:color="auto" w:fill="FFFFFF"/>
          </w:tcPr>
          <w:p>
            <w:r>
              <w:rPr>
                <w:sz w:val="18"/>
              </w:rPr>
              <w:t>9.2</w:t>
            </w:r>
          </w:p>
        </w:tc>
        <w:tc>
          <w:tcPr>
            <w:tcW w:type="dxa" w:w="1881"/>
            <w:shd w:val="clear" w:color="auto" w:fill="FFFFFF"/>
          </w:tcPr>
          <w:p>
            <w:r>
              <w:rPr>
                <w:sz w:val="18"/>
              </w:rPr>
              <w:t>HIS discharge data</w:t>
            </w:r>
          </w:p>
        </w:tc>
        <w:tc>
          <w:tcPr>
            <w:tcW w:type="dxa" w:w="1881"/>
            <w:shd w:val="clear" w:color="auto" w:fill="FFFFFF"/>
          </w:tcPr>
          <w:p>
            <w:r>
              <w:rPr>
                <w:sz w:val="18"/>
              </w:rPr>
              <w:t>Quarterly</w:t>
            </w:r>
          </w:p>
        </w:tc>
      </w:tr>
      <w:tr>
        <w:tc>
          <w:tcPr>
            <w:tcW w:type="dxa" w:w="1881"/>
            <w:shd w:val="clear" w:color="auto" w:fill="E8F4F5"/>
          </w:tcPr>
          <w:p>
            <w:r>
              <w:rPr>
                <w:sz w:val="18"/>
              </w:rPr>
              <w:t>Code Blue Response ≤3 min (%)</w:t>
            </w:r>
          </w:p>
        </w:tc>
        <w:tc>
          <w:tcPr>
            <w:tcW w:type="dxa" w:w="1881"/>
            <w:shd w:val="clear" w:color="auto" w:fill="E8F4F5"/>
          </w:tcPr>
          <w:p>
            <w:r>
              <w:rPr>
                <w:sz w:val="18"/>
              </w:rPr>
              <w:t>≥95</w:t>
            </w:r>
          </w:p>
        </w:tc>
        <w:tc>
          <w:tcPr>
            <w:tcW w:type="dxa" w:w="1881"/>
            <w:shd w:val="clear" w:color="auto" w:fill="E8F4F5"/>
          </w:tcPr>
          <w:p>
            <w:r>
              <w:rPr>
                <w:sz w:val="18"/>
              </w:rPr>
              <w:t>97</w:t>
            </w:r>
          </w:p>
        </w:tc>
        <w:tc>
          <w:tcPr>
            <w:tcW w:type="dxa" w:w="1881"/>
            <w:shd w:val="clear" w:color="auto" w:fill="E8F4F5"/>
          </w:tcPr>
          <w:p>
            <w:r>
              <w:rPr>
                <w:sz w:val="18"/>
              </w:rPr>
              <w:t>Emergency Response Log</w:t>
            </w:r>
          </w:p>
        </w:tc>
        <w:tc>
          <w:tcPr>
            <w:tcW w:type="dxa" w:w="1881"/>
            <w:shd w:val="clear" w:color="auto" w:fill="E8F4F5"/>
          </w:tcPr>
          <w:p>
            <w:r>
              <w:rPr>
                <w:sz w:val="18"/>
              </w:rPr>
              <w:t>Quarterly</w:t>
            </w:r>
          </w:p>
        </w:tc>
      </w:tr>
      <w:tr>
        <w:tc>
          <w:tcPr>
            <w:tcW w:type="dxa" w:w="1881"/>
            <w:shd w:val="clear" w:color="auto" w:fill="FFFFFF"/>
          </w:tcPr>
          <w:p>
            <w:r>
              <w:rPr>
                <w:sz w:val="18"/>
              </w:rPr>
              <w:t>Patient NPS (group average)</w:t>
            </w:r>
          </w:p>
        </w:tc>
        <w:tc>
          <w:tcPr>
            <w:tcW w:type="dxa" w:w="1881"/>
            <w:shd w:val="clear" w:color="auto" w:fill="FFFFFF"/>
          </w:tcPr>
          <w:p>
            <w:r>
              <w:rPr>
                <w:sz w:val="18"/>
              </w:rPr>
              <w:t>≥72</w:t>
            </w:r>
          </w:p>
        </w:tc>
        <w:tc>
          <w:tcPr>
            <w:tcW w:type="dxa" w:w="1881"/>
            <w:shd w:val="clear" w:color="auto" w:fill="FFFFFF"/>
          </w:tcPr>
          <w:p>
            <w:r>
              <w:rPr>
                <w:sz w:val="18"/>
              </w:rPr>
              <w:t>63</w:t>
            </w:r>
          </w:p>
        </w:tc>
        <w:tc>
          <w:tcPr>
            <w:tcW w:type="dxa" w:w="1881"/>
            <w:shd w:val="clear" w:color="auto" w:fill="FFFFFF"/>
          </w:tcPr>
          <w:p>
            <w:r>
              <w:rPr>
                <w:sz w:val="18"/>
              </w:rPr>
              <w:t>Post-discharge survey (3rd party)</w:t>
            </w:r>
          </w:p>
        </w:tc>
        <w:tc>
          <w:tcPr>
            <w:tcW w:type="dxa" w:w="1881"/>
            <w:shd w:val="clear" w:color="auto" w:fill="FFFFFF"/>
          </w:tcPr>
          <w:p>
            <w:r>
              <w:rPr>
                <w:sz w:val="18"/>
              </w:rPr>
              <w:t>Monthly</w:t>
            </w:r>
          </w:p>
        </w:tc>
      </w:tr>
      <w:tr>
        <w:tc>
          <w:tcPr>
            <w:tcW w:type="dxa" w:w="1881"/>
            <w:shd w:val="clear" w:color="auto" w:fill="E8F4F5"/>
          </w:tcPr>
          <w:p>
            <w:r>
              <w:rPr>
                <w:sz w:val="18"/>
              </w:rPr>
              <w:t>Critical Lab Value Notification &lt;30 min (%)</w:t>
            </w:r>
          </w:p>
        </w:tc>
        <w:tc>
          <w:tcPr>
            <w:tcW w:type="dxa" w:w="1881"/>
            <w:shd w:val="clear" w:color="auto" w:fill="E8F4F5"/>
          </w:tcPr>
          <w:p>
            <w:r>
              <w:rPr>
                <w:sz w:val="18"/>
              </w:rPr>
              <w:t>≥98</w:t>
            </w:r>
          </w:p>
        </w:tc>
        <w:tc>
          <w:tcPr>
            <w:tcW w:type="dxa" w:w="1881"/>
            <w:shd w:val="clear" w:color="auto" w:fill="E8F4F5"/>
          </w:tcPr>
          <w:p>
            <w:r>
              <w:rPr>
                <w:sz w:val="18"/>
              </w:rPr>
              <w:t>96</w:t>
            </w:r>
          </w:p>
        </w:tc>
        <w:tc>
          <w:tcPr>
            <w:tcW w:type="dxa" w:w="1881"/>
            <w:shd w:val="clear" w:color="auto" w:fill="E8F4F5"/>
          </w:tcPr>
          <w:p>
            <w:r>
              <w:rPr>
                <w:sz w:val="18"/>
              </w:rPr>
              <w:t>Laboratory IS / HIS</w:t>
            </w:r>
          </w:p>
        </w:tc>
        <w:tc>
          <w:tcPr>
            <w:tcW w:type="dxa" w:w="1881"/>
            <w:shd w:val="clear" w:color="auto" w:fill="E8F4F5"/>
          </w:tcPr>
          <w:p>
            <w:r>
              <w:rPr>
                <w:sz w:val="18"/>
              </w:rPr>
              <w:t>Monthly</w:t>
            </w:r>
          </w:p>
        </w:tc>
      </w:tr>
    </w:tbl>
    <w:p/>
    <w:p>
      <w:pPr>
        <w:pStyle w:val="Heading2"/>
        <w:spacing w:before="200" w:after="80"/>
      </w:pPr>
      <w:r>
        <w:rPr>
          <w:color w:val="003050"/>
          <w:sz w:val="24"/>
        </w:rPr>
        <w:t>3. Sentinel Event Protocol</w:t>
      </w:r>
    </w:p>
    <w:p>
      <w:pPr>
        <w:pStyle w:val="ListBullet"/>
        <w:spacing w:after="40"/>
      </w:pPr>
      <w:r>
        <w:rPr>
          <w:sz w:val="20"/>
        </w:rPr>
        <w:t>All sentinel events (wrong site surgery, retained foreign object, patient elopement, unexpected maternal/neonatal death) must be reported to Group Medical Director within 2 hours.</w:t>
      </w:r>
    </w:p>
    <w:p>
      <w:pPr>
        <w:pStyle w:val="ListBullet"/>
        <w:spacing w:after="40"/>
      </w:pPr>
      <w:r>
        <w:rPr>
          <w:sz w:val="20"/>
        </w:rPr>
        <w:t>Root Cause Analysis (RCA) mandatory within 7 working days; corrective action plan within 21 days.</w:t>
      </w:r>
    </w:p>
    <w:p>
      <w:pPr>
        <w:pStyle w:val="ListBullet"/>
        <w:spacing w:after="40"/>
      </w:pPr>
      <w:r>
        <w:rPr>
          <w:sz w:val="20"/>
        </w:rPr>
        <w:t>MSQH notification required within 24 hours; MOH notification per Private Healthcare Facilities &amp; Services Act 1998.</w:t>
      </w:r>
    </w:p>
    <w:p>
      <w:pPr>
        <w:pStyle w:val="ListBullet"/>
        <w:spacing w:after="40"/>
      </w:pPr>
      <w:r>
        <w:rPr>
          <w:sz w:val="20"/>
        </w:rPr>
        <w:t>De-identified case review at quarterly Group Patient Safety Committee.</w:t>
      </w:r>
    </w:p>
    <w:p>
      <w:r>
        <w:br w:type="page"/>
      </w:r>
    </w:p>
    <w:p>
      <w:pPr>
        <w:pStyle w:val="Heading1"/>
        <w:spacing w:before="280" w:after="120"/>
      </w:pPr>
      <w:r>
        <w:rPr>
          <w:color w:val="007B8A"/>
          <w:sz w:val="30"/>
        </w:rPr>
        <w:t>POL-ESG-005  Environmental, Social and Governance (ESG) Policy</w:t>
      </w:r>
    </w:p>
    <w:p>
      <w:pPr>
        <w:pStyle w:val="Heading2"/>
        <w:spacing w:before="200" w:after="80"/>
      </w:pPr>
      <w:r>
        <w:rPr>
          <w:color w:val="003050"/>
          <w:sz w:val="24"/>
        </w:rPr>
        <w:t>1. ESG Commitment</w:t>
      </w:r>
    </w:p>
    <w:p>
      <w:pPr>
        <w:spacing w:after="120"/>
      </w:pPr>
      <w:r>
        <w:rPr>
          <w:b w:val="0"/>
          <w:i w:val="0"/>
          <w:sz w:val="20"/>
        </w:rPr>
        <w:t>Contoso Healthcare Group is committed to achieving net zero Scope 1 and 2 emissions by 2050, with a 55% absolute reduction in Scope 1+2+3 by 2030 aligned to SBTi 1.5°C pathways. ESG performance is a Board-level KPI and is embedded in Executive remuneration (15% weight in Group CEO and CFO performance scorecard from FY2026).</w:t>
      </w:r>
    </w:p>
    <w:p>
      <w:pPr>
        <w:pStyle w:val="Heading2"/>
        <w:spacing w:before="200" w:after="80"/>
      </w:pPr>
      <w:r>
        <w:rPr>
          <w:color w:val="003050"/>
          <w:sz w:val="24"/>
        </w:rPr>
        <w:t>2. Governance Structure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7B8A"/>
          </w:tcPr>
          <w:p>
            <w:pPr>
              <w:jc w:val="center"/>
            </w:pPr>
            <w:r>
              <w:rPr>
                <w:b/>
                <w:color w:val="FFFFFF"/>
                <w:sz w:val="18"/>
              </w:rPr>
              <w:t>Body</w:t>
            </w:r>
          </w:p>
        </w:tc>
        <w:tc>
          <w:tcPr>
            <w:tcW w:type="dxa" w:w="2351"/>
            <w:shd w:val="clear" w:color="auto" w:fill="007B8A"/>
          </w:tcPr>
          <w:p>
            <w:pPr>
              <w:jc w:val="center"/>
            </w:pPr>
            <w:r>
              <w:rPr>
                <w:b/>
                <w:color w:val="FFFFFF"/>
                <w:sz w:val="18"/>
              </w:rPr>
              <w:t>Members</w:t>
            </w:r>
          </w:p>
        </w:tc>
        <w:tc>
          <w:tcPr>
            <w:tcW w:type="dxa" w:w="2351"/>
            <w:shd w:val="clear" w:color="auto" w:fill="007B8A"/>
          </w:tcPr>
          <w:p>
            <w:pPr>
              <w:jc w:val="center"/>
            </w:pPr>
            <w:r>
              <w:rPr>
                <w:b/>
                <w:color w:val="FFFFFF"/>
                <w:sz w:val="18"/>
              </w:rPr>
              <w:t>Meeting Frequency</w:t>
            </w:r>
          </w:p>
        </w:tc>
        <w:tc>
          <w:tcPr>
            <w:tcW w:type="dxa" w:w="2351"/>
            <w:shd w:val="clear" w:color="auto" w:fill="007B8A"/>
          </w:tcPr>
          <w:p>
            <w:pPr>
              <w:jc w:val="center"/>
            </w:pPr>
            <w:r>
              <w:rPr>
                <w:b/>
                <w:color w:val="FFFFFF"/>
                <w:sz w:val="18"/>
              </w:rPr>
              <w:t>Key Responsibilities</w:t>
            </w:r>
          </w:p>
        </w:tc>
      </w:tr>
      <w:tr>
        <w:tc>
          <w:tcPr>
            <w:tcW w:type="dxa" w:w="2351"/>
            <w:shd w:val="clear" w:color="auto" w:fill="E8F4F5"/>
          </w:tcPr>
          <w:p>
            <w:r>
              <w:rPr>
                <w:sz w:val="18"/>
              </w:rPr>
              <w:t>Board ESG Committee</w:t>
            </w:r>
          </w:p>
        </w:tc>
        <w:tc>
          <w:tcPr>
            <w:tcW w:type="dxa" w:w="2351"/>
            <w:shd w:val="clear" w:color="auto" w:fill="E8F4F5"/>
          </w:tcPr>
          <w:p>
            <w:r>
              <w:rPr>
                <w:sz w:val="18"/>
              </w:rPr>
              <w:t>3 Independent Directors (Chair: Datin Sri Kavitha Nair)</w:t>
            </w:r>
          </w:p>
        </w:tc>
        <w:tc>
          <w:tcPr>
            <w:tcW w:type="dxa" w:w="2351"/>
            <w:shd w:val="clear" w:color="auto" w:fill="E8F4F5"/>
          </w:tcPr>
          <w:p>
            <w:r>
              <w:rPr>
                <w:sz w:val="18"/>
              </w:rPr>
              <w:t>Quarterly</w:t>
            </w:r>
          </w:p>
        </w:tc>
        <w:tc>
          <w:tcPr>
            <w:tcW w:type="dxa" w:w="2351"/>
            <w:shd w:val="clear" w:color="auto" w:fill="E8F4F5"/>
          </w:tcPr>
          <w:p>
            <w:r>
              <w:rPr>
                <w:sz w:val="18"/>
              </w:rPr>
              <w:t>Approve ESG strategy; receive verified ESG report; oversee climate risk</w:t>
            </w:r>
          </w:p>
        </w:tc>
      </w:tr>
      <w:tr>
        <w:tc>
          <w:tcPr>
            <w:tcW w:type="dxa" w:w="2351"/>
            <w:shd w:val="clear" w:color="auto" w:fill="FFFFFF"/>
          </w:tcPr>
          <w:p>
            <w:r>
              <w:rPr>
                <w:sz w:val="18"/>
              </w:rPr>
              <w:t>Group ESG Steering Committee</w:t>
            </w:r>
          </w:p>
        </w:tc>
        <w:tc>
          <w:tcPr>
            <w:tcW w:type="dxa" w:w="2351"/>
            <w:shd w:val="clear" w:color="auto" w:fill="FFFFFF"/>
          </w:tcPr>
          <w:p>
            <w:r>
              <w:rPr>
                <w:sz w:val="18"/>
              </w:rPr>
              <w:t>Group CEO (Chair), CSO, CFO, CHRO, CIO, COO</w:t>
            </w:r>
          </w:p>
        </w:tc>
        <w:tc>
          <w:tcPr>
            <w:tcW w:type="dxa" w:w="2351"/>
            <w:shd w:val="clear" w:color="auto" w:fill="FFFFFF"/>
          </w:tcPr>
          <w:p>
            <w:r>
              <w:rPr>
                <w:sz w:val="18"/>
              </w:rPr>
              <w:t>Monthly</w:t>
            </w:r>
          </w:p>
        </w:tc>
        <w:tc>
          <w:tcPr>
            <w:tcW w:type="dxa" w:w="2351"/>
            <w:shd w:val="clear" w:color="auto" w:fill="FFFFFF"/>
          </w:tcPr>
          <w:p>
            <w:r>
              <w:rPr>
                <w:sz w:val="18"/>
              </w:rPr>
              <w:t>Approve targets; review progress; allocate ESG capex</w:t>
            </w:r>
          </w:p>
        </w:tc>
      </w:tr>
      <w:tr>
        <w:tc>
          <w:tcPr>
            <w:tcW w:type="dxa" w:w="2351"/>
            <w:shd w:val="clear" w:color="auto" w:fill="E8F4F5"/>
          </w:tcPr>
          <w:p>
            <w:r>
              <w:rPr>
                <w:sz w:val="18"/>
              </w:rPr>
              <w:t>Hospital ESG Champions</w:t>
            </w:r>
          </w:p>
        </w:tc>
        <w:tc>
          <w:tcPr>
            <w:tcW w:type="dxa" w:w="2351"/>
            <w:shd w:val="clear" w:color="auto" w:fill="E8F4F5"/>
          </w:tcPr>
          <w:p>
            <w:r>
              <w:rPr>
                <w:sz w:val="18"/>
              </w:rPr>
              <w:t>1 per hospital (HOD level)</w:t>
            </w:r>
          </w:p>
        </w:tc>
        <w:tc>
          <w:tcPr>
            <w:tcW w:type="dxa" w:w="2351"/>
            <w:shd w:val="clear" w:color="auto" w:fill="E8F4F5"/>
          </w:tcPr>
          <w:p>
            <w:r>
              <w:rPr>
                <w:sz w:val="18"/>
              </w:rPr>
              <w:t>Monthly</w:t>
            </w:r>
          </w:p>
        </w:tc>
        <w:tc>
          <w:tcPr>
            <w:tcW w:type="dxa" w:w="2351"/>
            <w:shd w:val="clear" w:color="auto" w:fill="E8F4F5"/>
          </w:tcPr>
          <w:p>
            <w:r>
              <w:rPr>
                <w:sz w:val="18"/>
              </w:rPr>
              <w:t>Implement local initiatives; data collection; staff engagement</w:t>
            </w:r>
          </w:p>
        </w:tc>
      </w:tr>
      <w:tr>
        <w:tc>
          <w:tcPr>
            <w:tcW w:type="dxa" w:w="2351"/>
            <w:shd w:val="clear" w:color="auto" w:fill="FFFFFF"/>
          </w:tcPr>
          <w:p>
            <w:r>
              <w:rPr>
                <w:sz w:val="18"/>
              </w:rPr>
              <w:t>External Verifier</w:t>
            </w:r>
          </w:p>
        </w:tc>
        <w:tc>
          <w:tcPr>
            <w:tcW w:type="dxa" w:w="2351"/>
            <w:shd w:val="clear" w:color="auto" w:fill="FFFFFF"/>
          </w:tcPr>
          <w:p>
            <w:r>
              <w:rPr>
                <w:sz w:val="18"/>
              </w:rPr>
              <w:t>Bureau Veritas Malaysia</w:t>
            </w:r>
          </w:p>
        </w:tc>
        <w:tc>
          <w:tcPr>
            <w:tcW w:type="dxa" w:w="2351"/>
            <w:shd w:val="clear" w:color="auto" w:fill="FFFFFF"/>
          </w:tcPr>
          <w:p>
            <w:r>
              <w:rPr>
                <w:sz w:val="18"/>
              </w:rPr>
              <w:t>Annual</w:t>
            </w:r>
          </w:p>
        </w:tc>
        <w:tc>
          <w:tcPr>
            <w:tcW w:type="dxa" w:w="2351"/>
            <w:shd w:val="clear" w:color="auto" w:fill="FFFFFF"/>
          </w:tcPr>
          <w:p>
            <w:r>
              <w:rPr>
                <w:sz w:val="18"/>
              </w:rPr>
              <w:t>Assurance (ISAE 3000) on Scope 1, 2, 3 GHG; ESG Report</w:t>
            </w:r>
          </w:p>
        </w:tc>
      </w:tr>
    </w:tbl>
    <w:p/>
    <w:p>
      <w:pPr>
        <w:pStyle w:val="Heading2"/>
        <w:spacing w:before="200" w:after="80"/>
      </w:pPr>
      <w:r>
        <w:rPr>
          <w:color w:val="003050"/>
          <w:sz w:val="24"/>
        </w:rPr>
        <w:t>3. Key Policies Embedded Under POL-ESG-005</w:t>
      </w:r>
    </w:p>
    <w:p>
      <w:pPr>
        <w:pStyle w:val="ListBullet"/>
        <w:spacing w:after="40"/>
      </w:pPr>
      <w:r>
        <w:rPr>
          <w:sz w:val="20"/>
        </w:rPr>
        <w:t>Energy Management: ISO 50001 implementation at KL, PJ, Penang by FY2026.</w:t>
      </w:r>
    </w:p>
    <w:p>
      <w:pPr>
        <w:pStyle w:val="ListBullet"/>
        <w:spacing w:after="40"/>
      </w:pPr>
      <w:r>
        <w:rPr>
          <w:sz w:val="20"/>
        </w:rPr>
        <w:t>Water Management: Water risk assessment per AQUEDUCT framework annually.</w:t>
      </w:r>
    </w:p>
    <w:p>
      <w:pPr>
        <w:pStyle w:val="ListBullet"/>
        <w:spacing w:after="40"/>
      </w:pPr>
      <w:r>
        <w:rPr>
          <w:sz w:val="20"/>
        </w:rPr>
        <w:t>Waste Management: Zero clinical waste to unregistered contractors; DOE Schedule Waste compliance 100%.</w:t>
      </w:r>
    </w:p>
    <w:p>
      <w:pPr>
        <w:pStyle w:val="ListBullet"/>
        <w:spacing w:after="40"/>
      </w:pPr>
      <w:r>
        <w:rPr>
          <w:sz w:val="20"/>
        </w:rPr>
        <w:t>Supply Chain: EcoVadis or equivalent ESG screening for top 50 suppliers by FY2026.</w:t>
      </w:r>
    </w:p>
    <w:p>
      <w:pPr>
        <w:pStyle w:val="ListBullet"/>
        <w:spacing w:after="40"/>
      </w:pPr>
      <w:r>
        <w:rPr>
          <w:sz w:val="20"/>
        </w:rPr>
        <w:t>Community: Minimum 0.5% of NPAT to community health programmes annually.</w:t>
      </w:r>
    </w:p>
    <w:p>
      <w:pPr>
        <w:pStyle w:val="ListBullet"/>
        <w:spacing w:after="40"/>
      </w:pPr>
      <w:r>
        <w:rPr>
          <w:sz w:val="20"/>
        </w:rPr>
        <w:t>Biodiversity: No new construction to proceed on sites with IUCN Red List species without specialist assessment.</w:t>
      </w:r>
    </w:p>
    <w:p>
      <w:r>
        <w:br w:type="page"/>
      </w:r>
    </w:p>
    <w:p>
      <w:pPr>
        <w:pStyle w:val="Heading1"/>
        <w:spacing w:before="280" w:after="120"/>
      </w:pPr>
      <w:r>
        <w:rPr>
          <w:color w:val="007B8A"/>
          <w:sz w:val="30"/>
        </w:rPr>
        <w:t>POL-DAT-006  Data Governance and Privacy Policy</w:t>
      </w:r>
    </w:p>
    <w:p>
      <w:pPr>
        <w:pStyle w:val="Heading2"/>
        <w:spacing w:before="200" w:after="80"/>
      </w:pPr>
      <w:r>
        <w:rPr>
          <w:color w:val="003050"/>
          <w:sz w:val="24"/>
        </w:rPr>
        <w:t>1. Regulatory Framework</w:t>
      </w:r>
    </w:p>
    <w:p>
      <w:pPr>
        <w:spacing w:after="120"/>
      </w:pPr>
      <w:r>
        <w:rPr>
          <w:b w:val="0"/>
          <w:i w:val="0"/>
          <w:sz w:val="20"/>
        </w:rPr>
        <w:t>This policy operates within the Personal Data Protection Act 2010 (PDPA), the Private Healthcare Facilities and Services Act 1998, Ministry of Health Malaysia Health Data Standards, and the Group Information Security Policy (based on ISO/IEC 27001:2022). With effect from FY2026, the Group will also align to SEHA (ASEAN Health Data Exchange) cross-border data transfer standards.</w:t>
      </w:r>
    </w:p>
    <w:p>
      <w:pPr>
        <w:pStyle w:val="Heading2"/>
        <w:spacing w:before="200" w:after="80"/>
      </w:pPr>
      <w:r>
        <w:rPr>
          <w:color w:val="003050"/>
          <w:sz w:val="24"/>
        </w:rPr>
        <w:t>2. Data Classification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7B8A"/>
          </w:tcPr>
          <w:p>
            <w:pPr>
              <w:jc w:val="center"/>
            </w:pPr>
            <w:r>
              <w:rPr>
                <w:b/>
                <w:color w:val="FFFFFF"/>
                <w:sz w:val="18"/>
              </w:rPr>
              <w:t>Classification</w:t>
            </w:r>
          </w:p>
        </w:tc>
        <w:tc>
          <w:tcPr>
            <w:tcW w:type="dxa" w:w="1881"/>
            <w:shd w:val="clear" w:color="auto" w:fill="007B8A"/>
          </w:tcPr>
          <w:p>
            <w:pPr>
              <w:jc w:val="center"/>
            </w:pPr>
            <w:r>
              <w:rPr>
                <w:b/>
                <w:color w:val="FFFFFF"/>
                <w:sz w:val="18"/>
              </w:rPr>
              <w:t>Examples</w:t>
            </w:r>
          </w:p>
        </w:tc>
        <w:tc>
          <w:tcPr>
            <w:tcW w:type="dxa" w:w="1881"/>
            <w:shd w:val="clear" w:color="auto" w:fill="007B8A"/>
          </w:tcPr>
          <w:p>
            <w:pPr>
              <w:jc w:val="center"/>
            </w:pPr>
            <w:r>
              <w:rPr>
                <w:b/>
                <w:color w:val="FFFFFF"/>
                <w:sz w:val="18"/>
              </w:rPr>
              <w:t>Access Controls</w:t>
            </w:r>
          </w:p>
        </w:tc>
        <w:tc>
          <w:tcPr>
            <w:tcW w:type="dxa" w:w="1881"/>
            <w:shd w:val="clear" w:color="auto" w:fill="007B8A"/>
          </w:tcPr>
          <w:p>
            <w:pPr>
              <w:jc w:val="center"/>
            </w:pPr>
            <w:r>
              <w:rPr>
                <w:b/>
                <w:color w:val="FFFFFF"/>
                <w:sz w:val="18"/>
              </w:rPr>
              <w:t>Retention</w:t>
            </w:r>
          </w:p>
        </w:tc>
        <w:tc>
          <w:tcPr>
            <w:tcW w:type="dxa" w:w="1881"/>
            <w:shd w:val="clear" w:color="auto" w:fill="007B8A"/>
          </w:tcPr>
          <w:p>
            <w:pPr>
              <w:jc w:val="center"/>
            </w:pPr>
            <w:r>
              <w:rPr>
                <w:b/>
                <w:color w:val="FFFFFF"/>
                <w:sz w:val="18"/>
              </w:rPr>
              <w:t>Breach Response</w:t>
            </w:r>
          </w:p>
        </w:tc>
      </w:tr>
      <w:tr>
        <w:tc>
          <w:tcPr>
            <w:tcW w:type="dxa" w:w="1881"/>
            <w:shd w:val="clear" w:color="auto" w:fill="E8F4F5"/>
          </w:tcPr>
          <w:p>
            <w:r>
              <w:rPr>
                <w:sz w:val="18"/>
              </w:rPr>
              <w:t>RESTRICTED — Personal Health Information</w:t>
            </w:r>
          </w:p>
        </w:tc>
        <w:tc>
          <w:tcPr>
            <w:tcW w:type="dxa" w:w="1881"/>
            <w:shd w:val="clear" w:color="auto" w:fill="E8F4F5"/>
          </w:tcPr>
          <w:p>
            <w:r>
              <w:rPr>
                <w:sz w:val="18"/>
              </w:rPr>
              <w:t>Patient records, diagnosis, medication, imaging</w:t>
            </w:r>
          </w:p>
        </w:tc>
        <w:tc>
          <w:tcPr>
            <w:tcW w:type="dxa" w:w="1881"/>
            <w:shd w:val="clear" w:color="auto" w:fill="E8F4F5"/>
          </w:tcPr>
          <w:p>
            <w:r>
              <w:rPr>
                <w:sz w:val="18"/>
              </w:rPr>
              <w:t>Role-based (treating team only); MFA required; no USB export</w:t>
            </w:r>
          </w:p>
        </w:tc>
        <w:tc>
          <w:tcPr>
            <w:tcW w:type="dxa" w:w="1881"/>
            <w:shd w:val="clear" w:color="auto" w:fill="E8F4F5"/>
          </w:tcPr>
          <w:p>
            <w:r>
              <w:rPr>
                <w:sz w:val="18"/>
              </w:rPr>
              <w:t>10 years post last interaction</w:t>
            </w:r>
          </w:p>
        </w:tc>
        <w:tc>
          <w:tcPr>
            <w:tcW w:type="dxa" w:w="1881"/>
            <w:shd w:val="clear" w:color="auto" w:fill="E8F4F5"/>
          </w:tcPr>
          <w:p>
            <w:r>
              <w:rPr>
                <w:sz w:val="18"/>
              </w:rPr>
              <w:t>PDPA breach: notify PDPC within 72 hours; patient within 30 days</w:t>
            </w:r>
          </w:p>
        </w:tc>
      </w:tr>
      <w:tr>
        <w:tc>
          <w:tcPr>
            <w:tcW w:type="dxa" w:w="1881"/>
            <w:shd w:val="clear" w:color="auto" w:fill="FFFFFF"/>
          </w:tcPr>
          <w:p>
            <w:r>
              <w:rPr>
                <w:sz w:val="18"/>
              </w:rPr>
              <w:t>CONFIDENTIAL — Financial</w:t>
            </w:r>
          </w:p>
        </w:tc>
        <w:tc>
          <w:tcPr>
            <w:tcW w:type="dxa" w:w="1881"/>
            <w:shd w:val="clear" w:color="auto" w:fill="FFFFFF"/>
          </w:tcPr>
          <w:p>
            <w:r>
              <w:rPr>
                <w:sz w:val="18"/>
              </w:rPr>
              <w:t>Patient billing, payer contracts, tariff schedules</w:t>
            </w:r>
          </w:p>
        </w:tc>
        <w:tc>
          <w:tcPr>
            <w:tcW w:type="dxa" w:w="1881"/>
            <w:shd w:val="clear" w:color="auto" w:fill="FFFFFF"/>
          </w:tcPr>
          <w:p>
            <w:r>
              <w:rPr>
                <w:sz w:val="18"/>
              </w:rPr>
              <w:t>Finance team + approved auditors; encrypted at rest + transit</w:t>
            </w:r>
          </w:p>
        </w:tc>
        <w:tc>
          <w:tcPr>
            <w:tcW w:type="dxa" w:w="1881"/>
            <w:shd w:val="clear" w:color="auto" w:fill="FFFFFF"/>
          </w:tcPr>
          <w:p>
            <w:r>
              <w:rPr>
                <w:sz w:val="18"/>
              </w:rPr>
              <w:t>7 years (LHDN requirement)</w:t>
            </w:r>
          </w:p>
        </w:tc>
        <w:tc>
          <w:tcPr>
            <w:tcW w:type="dxa" w:w="1881"/>
            <w:shd w:val="clear" w:color="auto" w:fill="FFFFFF"/>
          </w:tcPr>
          <w:p>
            <w:r>
              <w:rPr>
                <w:sz w:val="18"/>
              </w:rPr>
              <w:t>Incident report within 24 hours to Group CIO</w:t>
            </w:r>
          </w:p>
        </w:tc>
      </w:tr>
      <w:tr>
        <w:tc>
          <w:tcPr>
            <w:tcW w:type="dxa" w:w="1881"/>
            <w:shd w:val="clear" w:color="auto" w:fill="E8F4F5"/>
          </w:tcPr>
          <w:p>
            <w:r>
              <w:rPr>
                <w:sz w:val="18"/>
              </w:rPr>
              <w:t>INTERNAL — Operational</w:t>
            </w:r>
          </w:p>
        </w:tc>
        <w:tc>
          <w:tcPr>
            <w:tcW w:type="dxa" w:w="1881"/>
            <w:shd w:val="clear" w:color="auto" w:fill="E8F4F5"/>
          </w:tcPr>
          <w:p>
            <w:r>
              <w:rPr>
                <w:sz w:val="18"/>
              </w:rPr>
              <w:t>HR records, clinical quality reports, board papers</w:t>
            </w:r>
          </w:p>
        </w:tc>
        <w:tc>
          <w:tcPr>
            <w:tcW w:type="dxa" w:w="1881"/>
            <w:shd w:val="clear" w:color="auto" w:fill="E8F4F5"/>
          </w:tcPr>
          <w:p>
            <w:r>
              <w:rPr>
                <w:sz w:val="18"/>
              </w:rPr>
              <w:t>Department-restricted; SharePoint/Teams DLP enforced</w:t>
            </w:r>
          </w:p>
        </w:tc>
        <w:tc>
          <w:tcPr>
            <w:tcW w:type="dxa" w:w="1881"/>
            <w:shd w:val="clear" w:color="auto" w:fill="E8F4F5"/>
          </w:tcPr>
          <w:p>
            <w:r>
              <w:rPr>
                <w:sz w:val="18"/>
              </w:rPr>
              <w:t>5 years</w:t>
            </w:r>
          </w:p>
        </w:tc>
        <w:tc>
          <w:tcPr>
            <w:tcW w:type="dxa" w:w="1881"/>
            <w:shd w:val="clear" w:color="auto" w:fill="E8F4F5"/>
          </w:tcPr>
          <w:p>
            <w:r>
              <w:rPr>
                <w:sz w:val="18"/>
              </w:rPr>
              <w:t>Incident report within 48 hours</w:t>
            </w:r>
          </w:p>
        </w:tc>
      </w:tr>
      <w:tr>
        <w:tc>
          <w:tcPr>
            <w:tcW w:type="dxa" w:w="1881"/>
            <w:shd w:val="clear" w:color="auto" w:fill="FFFFFF"/>
          </w:tcPr>
          <w:p>
            <w:r>
              <w:rPr>
                <w:sz w:val="18"/>
              </w:rPr>
              <w:t>PUBLIC</w:t>
            </w:r>
          </w:p>
        </w:tc>
        <w:tc>
          <w:tcPr>
            <w:tcW w:type="dxa" w:w="1881"/>
            <w:shd w:val="clear" w:color="auto" w:fill="FFFFFF"/>
          </w:tcPr>
          <w:p>
            <w:r>
              <w:rPr>
                <w:sz w:val="18"/>
              </w:rPr>
              <w:t>Published tariff guide, accreditation certificates</w:t>
            </w:r>
          </w:p>
        </w:tc>
        <w:tc>
          <w:tcPr>
            <w:tcW w:type="dxa" w:w="1881"/>
            <w:shd w:val="clear" w:color="auto" w:fill="FFFFFF"/>
          </w:tcPr>
          <w:p>
            <w:r>
              <w:rPr>
                <w:sz w:val="18"/>
              </w:rPr>
              <w:t>No restrictions</w:t>
            </w:r>
          </w:p>
        </w:tc>
        <w:tc>
          <w:tcPr>
            <w:tcW w:type="dxa" w:w="1881"/>
            <w:shd w:val="clear" w:color="auto" w:fill="FFFFFF"/>
          </w:tcPr>
          <w:p>
            <w:r>
              <w:rPr>
                <w:sz w:val="18"/>
              </w:rPr>
              <w:t>As required</w:t>
            </w:r>
          </w:p>
        </w:tc>
        <w:tc>
          <w:tcPr>
            <w:tcW w:type="dxa" w:w="1881"/>
            <w:shd w:val="clear" w:color="auto" w:fill="FFFFFF"/>
          </w:tcPr>
          <w:p>
            <w:r>
              <w:rPr>
                <w:sz w:val="18"/>
              </w:rPr>
              <w:t>N/A</w:t>
            </w:r>
          </w:p>
        </w:tc>
      </w:tr>
    </w:tbl>
    <w:p/>
    <w:p>
      <w:pPr>
        <w:pStyle w:val="Heading2"/>
        <w:spacing w:before="200" w:after="80"/>
      </w:pPr>
      <w:r>
        <w:rPr>
          <w:color w:val="003050"/>
          <w:sz w:val="24"/>
        </w:rPr>
        <w:t>3. AI and Copilot Usage</w:t>
      </w:r>
    </w:p>
    <w:p>
      <w:pPr>
        <w:pStyle w:val="ListBullet"/>
        <w:spacing w:after="40"/>
      </w:pPr>
      <w:r>
        <w:rPr>
          <w:sz w:val="20"/>
        </w:rPr>
        <w:t>All use of AI tools (including Microsoft 365 Copilot) must comply with the Group AI Acceptable Use Policy (AUP-AI-001), effective Q1 FY2026.</w:t>
      </w:r>
    </w:p>
    <w:p>
      <w:pPr>
        <w:pStyle w:val="ListBullet"/>
        <w:spacing w:after="40"/>
      </w:pPr>
      <w:r>
        <w:rPr>
          <w:sz w:val="20"/>
        </w:rPr>
        <w:t>Patient data must NOT be input into non-enterprise AI tools or general consumer LLMs.</w:t>
      </w:r>
    </w:p>
    <w:p>
      <w:pPr>
        <w:pStyle w:val="ListBullet"/>
        <w:spacing w:after="40"/>
      </w:pPr>
      <w:r>
        <w:rPr>
          <w:sz w:val="20"/>
        </w:rPr>
        <w:t>Microsoft 365 Copilot is approved for use with anonymised operational and financial data only.</w:t>
      </w:r>
    </w:p>
    <w:p>
      <w:pPr>
        <w:pStyle w:val="ListBullet"/>
        <w:spacing w:after="40"/>
      </w:pPr>
      <w:r>
        <w:rPr>
          <w:sz w:val="20"/>
        </w:rPr>
        <w:t>Prompt logs are retained for 12 months for audit purposes.</w:t>
      </w:r>
    </w:p>
    <w:p>
      <w:pPr>
        <w:pStyle w:val="ListBullet"/>
        <w:spacing w:after="40"/>
      </w:pPr>
      <w:r>
        <w:rPr>
          <w:sz w:val="20"/>
        </w:rPr>
        <w:t>All AI-generated clinical content must be reviewed and signed off by a licensed healthcare professional before use in patient care.</w:t>
      </w:r>
    </w:p>
    <w:p>
      <w:r>
        <w:br w:type="page"/>
      </w:r>
    </w:p>
    <w:p>
      <w:pPr>
        <w:pStyle w:val="Heading1"/>
        <w:spacing w:before="280" w:after="120"/>
      </w:pPr>
      <w:r>
        <w:rPr>
          <w:color w:val="007B8A"/>
          <w:sz w:val="30"/>
        </w:rPr>
        <w:t>POL-DIG-007  Digital Transformation and Technology Investment Policy</w:t>
      </w:r>
    </w:p>
    <w:p>
      <w:pPr>
        <w:pStyle w:val="Heading2"/>
        <w:spacing w:before="200" w:after="80"/>
      </w:pPr>
      <w:r>
        <w:rPr>
          <w:color w:val="003050"/>
          <w:sz w:val="24"/>
        </w:rPr>
        <w:t>1. Digital Strategy Overview</w:t>
      </w:r>
    </w:p>
    <w:p>
      <w:pPr>
        <w:spacing w:after="120"/>
      </w:pPr>
      <w:r>
        <w:rPr>
          <w:b w:val="0"/>
          <w:i w:val="0"/>
          <w:sz w:val="20"/>
        </w:rPr>
        <w:t>Contoso Healthcare Group's Digital Transformation Roadmap FY2025–2030 ("Contoso Digital 2030") targets three outcomes: (1) Enhanced Patient Experience — digital front door, AI-assisted triage, patient portal; (2) Clinical Excellence — AI-assisted diagnostics, predictive patient deterioration, robotic surgery; (3) Operational Efficiency — real-time financial dashboards, AI-powered supply chain, automated coding and billing.</w:t>
      </w:r>
    </w:p>
    <w:p>
      <w:pPr>
        <w:pStyle w:val="Heading2"/>
        <w:spacing w:before="200" w:after="80"/>
      </w:pPr>
      <w:r>
        <w:rPr>
          <w:color w:val="003050"/>
          <w:sz w:val="24"/>
        </w:rPr>
        <w:t>2. Core Digital Platforms (Approved)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07B8A"/>
          </w:tcPr>
          <w:p>
            <w:pPr>
              <w:jc w:val="center"/>
            </w:pPr>
            <w:r>
              <w:rPr>
                <w:b/>
                <w:color w:val="FFFFFF"/>
                <w:sz w:val="18"/>
              </w:rPr>
              <w:t>Platform</w:t>
            </w:r>
          </w:p>
        </w:tc>
        <w:tc>
          <w:tcPr>
            <w:tcW w:type="dxa" w:w="1568"/>
            <w:shd w:val="clear" w:color="auto" w:fill="007B8A"/>
          </w:tcPr>
          <w:p>
            <w:pPr>
              <w:jc w:val="center"/>
            </w:pPr>
            <w:r>
              <w:rPr>
                <w:b/>
                <w:color w:val="FFFFFF"/>
                <w:sz w:val="18"/>
              </w:rPr>
              <w:t>Vendor</w:t>
            </w:r>
          </w:p>
        </w:tc>
        <w:tc>
          <w:tcPr>
            <w:tcW w:type="dxa" w:w="1568"/>
            <w:shd w:val="clear" w:color="auto" w:fill="007B8A"/>
          </w:tcPr>
          <w:p>
            <w:pPr>
              <w:jc w:val="center"/>
            </w:pPr>
            <w:r>
              <w:rPr>
                <w:b/>
                <w:color w:val="FFFFFF"/>
                <w:sz w:val="18"/>
              </w:rPr>
              <w:t>Go-Live</w:t>
            </w:r>
          </w:p>
        </w:tc>
        <w:tc>
          <w:tcPr>
            <w:tcW w:type="dxa" w:w="1568"/>
            <w:shd w:val="clear" w:color="auto" w:fill="007B8A"/>
          </w:tcPr>
          <w:p>
            <w:pPr>
              <w:jc w:val="center"/>
            </w:pPr>
            <w:r>
              <w:rPr>
                <w:b/>
                <w:color w:val="FFFFFF"/>
                <w:sz w:val="18"/>
              </w:rPr>
              <w:t>Scope</w:t>
            </w:r>
          </w:p>
        </w:tc>
        <w:tc>
          <w:tcPr>
            <w:tcW w:type="dxa" w:w="1568"/>
            <w:shd w:val="clear" w:color="auto" w:fill="007B8A"/>
          </w:tcPr>
          <w:p>
            <w:pPr>
              <w:jc w:val="center"/>
            </w:pPr>
            <w:r>
              <w:rPr>
                <w:b/>
                <w:color w:val="FFFFFF"/>
                <w:sz w:val="18"/>
              </w:rPr>
              <w:t>Capex RM M</w:t>
            </w:r>
          </w:p>
        </w:tc>
        <w:tc>
          <w:tcPr>
            <w:tcW w:type="dxa" w:w="1568"/>
            <w:shd w:val="clear" w:color="auto" w:fill="007B8A"/>
          </w:tcPr>
          <w:p>
            <w:pPr>
              <w:jc w:val="center"/>
            </w:pPr>
            <w:r>
              <w:rPr>
                <w:b/>
                <w:color w:val="FFFFFF"/>
                <w:sz w:val="18"/>
              </w:rPr>
              <w:t>Status</w:t>
            </w:r>
          </w:p>
        </w:tc>
      </w:tr>
      <w:tr>
        <w:tc>
          <w:tcPr>
            <w:tcW w:type="dxa" w:w="1568"/>
            <w:shd w:val="clear" w:color="auto" w:fill="E8F4F5"/>
          </w:tcPr>
          <w:p>
            <w:r>
              <w:rPr>
                <w:sz w:val="18"/>
              </w:rPr>
              <w:t>Hospital Information System (HIS)</w:t>
            </w:r>
          </w:p>
        </w:tc>
        <w:tc>
          <w:tcPr>
            <w:tcW w:type="dxa" w:w="1568"/>
            <w:shd w:val="clear" w:color="auto" w:fill="E8F4F5"/>
          </w:tcPr>
          <w:p>
            <w:r>
              <w:rPr>
                <w:sz w:val="18"/>
              </w:rPr>
              <w:t>Oracle Health (Cerner)</w:t>
            </w:r>
          </w:p>
        </w:tc>
        <w:tc>
          <w:tcPr>
            <w:tcW w:type="dxa" w:w="1568"/>
            <w:shd w:val="clear" w:color="auto" w:fill="E8F4F5"/>
          </w:tcPr>
          <w:p>
            <w:r>
              <w:rPr>
                <w:sz w:val="18"/>
              </w:rPr>
              <w:t>Phase 2 FY2026</w:t>
            </w:r>
          </w:p>
        </w:tc>
        <w:tc>
          <w:tcPr>
            <w:tcW w:type="dxa" w:w="1568"/>
            <w:shd w:val="clear" w:color="auto" w:fill="E8F4F5"/>
          </w:tcPr>
          <w:p>
            <w:r>
              <w:rPr>
                <w:sz w:val="18"/>
              </w:rPr>
              <w:t>KL, PJ, Penang already live; JB, Ipoh, Subang FY2026</w:t>
            </w:r>
          </w:p>
        </w:tc>
        <w:tc>
          <w:tcPr>
            <w:tcW w:type="dxa" w:w="1568"/>
            <w:shd w:val="clear" w:color="auto" w:fill="E8F4F5"/>
          </w:tcPr>
          <w:p>
            <w:r>
              <w:rPr>
                <w:sz w:val="18"/>
              </w:rPr>
              <w:t>12.5</w:t>
            </w:r>
          </w:p>
        </w:tc>
        <w:tc>
          <w:tcPr>
            <w:tcW w:type="dxa" w:w="1568"/>
            <w:shd w:val="clear" w:color="auto" w:fill="E8F4F5"/>
          </w:tcPr>
          <w:p>
            <w:r>
              <w:rPr>
                <w:sz w:val="18"/>
              </w:rPr>
              <w:t>In implementation</w:t>
            </w:r>
          </w:p>
        </w:tc>
      </w:tr>
      <w:tr>
        <w:tc>
          <w:tcPr>
            <w:tcW w:type="dxa" w:w="1568"/>
            <w:shd w:val="clear" w:color="auto" w:fill="FFFFFF"/>
          </w:tcPr>
          <w:p>
            <w:r>
              <w:rPr>
                <w:sz w:val="18"/>
              </w:rPr>
              <w:t>Enterprise Resource Planning (ERP)</w:t>
            </w:r>
          </w:p>
        </w:tc>
        <w:tc>
          <w:tcPr>
            <w:tcW w:type="dxa" w:w="1568"/>
            <w:shd w:val="clear" w:color="auto" w:fill="FFFFFF"/>
          </w:tcPr>
          <w:p>
            <w:r>
              <w:rPr>
                <w:sz w:val="18"/>
              </w:rPr>
              <w:t>SAP S/4HANA Cloud</w:t>
            </w:r>
          </w:p>
        </w:tc>
        <w:tc>
          <w:tcPr>
            <w:tcW w:type="dxa" w:w="1568"/>
            <w:shd w:val="clear" w:color="auto" w:fill="FFFFFF"/>
          </w:tcPr>
          <w:p>
            <w:r>
              <w:rPr>
                <w:sz w:val="18"/>
              </w:rPr>
              <w:t>Q2 FY2026</w:t>
            </w:r>
          </w:p>
        </w:tc>
        <w:tc>
          <w:tcPr>
            <w:tcW w:type="dxa" w:w="1568"/>
            <w:shd w:val="clear" w:color="auto" w:fill="FFFFFF"/>
          </w:tcPr>
          <w:p>
            <w:r>
              <w:rPr>
                <w:sz w:val="18"/>
              </w:rPr>
              <w:t>Finance, HR, Supply Chain (Group-wide)</w:t>
            </w:r>
          </w:p>
        </w:tc>
        <w:tc>
          <w:tcPr>
            <w:tcW w:type="dxa" w:w="1568"/>
            <w:shd w:val="clear" w:color="auto" w:fill="FFFFFF"/>
          </w:tcPr>
          <w:p>
            <w:r>
              <w:rPr>
                <w:sz w:val="18"/>
              </w:rPr>
              <w:t>18.0</w:t>
            </w:r>
          </w:p>
        </w:tc>
        <w:tc>
          <w:tcPr>
            <w:tcW w:type="dxa" w:w="1568"/>
            <w:shd w:val="clear" w:color="auto" w:fill="FFFFFF"/>
          </w:tcPr>
          <w:p>
            <w:r>
              <w:rPr>
                <w:sz w:val="18"/>
              </w:rPr>
              <w:t>Go-live prep</w:t>
            </w:r>
          </w:p>
        </w:tc>
      </w:tr>
      <w:tr>
        <w:tc>
          <w:tcPr>
            <w:tcW w:type="dxa" w:w="1568"/>
            <w:shd w:val="clear" w:color="auto" w:fill="E8F4F5"/>
          </w:tcPr>
          <w:p>
            <w:r>
              <w:rPr>
                <w:sz w:val="18"/>
              </w:rPr>
              <w:t>AI Diagnostic Imaging</w:t>
            </w:r>
          </w:p>
        </w:tc>
        <w:tc>
          <w:tcPr>
            <w:tcW w:type="dxa" w:w="1568"/>
            <w:shd w:val="clear" w:color="auto" w:fill="E8F4F5"/>
          </w:tcPr>
          <w:p>
            <w:r>
              <w:rPr>
                <w:sz w:val="18"/>
              </w:rPr>
              <w:t>Enlitic (FDA cleared modules)</w:t>
            </w:r>
          </w:p>
        </w:tc>
        <w:tc>
          <w:tcPr>
            <w:tcW w:type="dxa" w:w="1568"/>
            <w:shd w:val="clear" w:color="auto" w:fill="E8F4F5"/>
          </w:tcPr>
          <w:p>
            <w:r>
              <w:rPr>
                <w:sz w:val="18"/>
              </w:rPr>
              <w:t>Q3 FY2026</w:t>
            </w:r>
          </w:p>
        </w:tc>
        <w:tc>
          <w:tcPr>
            <w:tcW w:type="dxa" w:w="1568"/>
            <w:shd w:val="clear" w:color="auto" w:fill="E8F4F5"/>
          </w:tcPr>
          <w:p>
            <w:r>
              <w:rPr>
                <w:sz w:val="18"/>
              </w:rPr>
              <w:t>CT, MRI, X-ray AI reading assist at KL &amp; PJ</w:t>
            </w:r>
          </w:p>
        </w:tc>
        <w:tc>
          <w:tcPr>
            <w:tcW w:type="dxa" w:w="1568"/>
            <w:shd w:val="clear" w:color="auto" w:fill="E8F4F5"/>
          </w:tcPr>
          <w:p>
            <w:r>
              <w:rPr>
                <w:sz w:val="18"/>
              </w:rPr>
              <w:t>6.2</w:t>
            </w:r>
          </w:p>
        </w:tc>
        <w:tc>
          <w:tcPr>
            <w:tcW w:type="dxa" w:w="1568"/>
            <w:shd w:val="clear" w:color="auto" w:fill="E8F4F5"/>
          </w:tcPr>
          <w:p>
            <w:r>
              <w:rPr>
                <w:sz w:val="18"/>
              </w:rPr>
              <w:t>Pilot completed</w:t>
            </w:r>
          </w:p>
        </w:tc>
      </w:tr>
      <w:tr>
        <w:tc>
          <w:tcPr>
            <w:tcW w:type="dxa" w:w="1568"/>
            <w:shd w:val="clear" w:color="auto" w:fill="FFFFFF"/>
          </w:tcPr>
          <w:p>
            <w:r>
              <w:rPr>
                <w:sz w:val="18"/>
              </w:rPr>
              <w:t>Microsoft 365 Copilot</w:t>
            </w:r>
          </w:p>
        </w:tc>
        <w:tc>
          <w:tcPr>
            <w:tcW w:type="dxa" w:w="1568"/>
            <w:shd w:val="clear" w:color="auto" w:fill="FFFFFF"/>
          </w:tcPr>
          <w:p>
            <w:r>
              <w:rPr>
                <w:sz w:val="18"/>
              </w:rPr>
              <w:t>Microsoft</w:t>
            </w:r>
          </w:p>
        </w:tc>
        <w:tc>
          <w:tcPr>
            <w:tcW w:type="dxa" w:w="1568"/>
            <w:shd w:val="clear" w:color="auto" w:fill="FFFFFF"/>
          </w:tcPr>
          <w:p>
            <w:r>
              <w:rPr>
                <w:sz w:val="18"/>
              </w:rPr>
              <w:t>Q1 FY2026</w:t>
            </w:r>
          </w:p>
        </w:tc>
        <w:tc>
          <w:tcPr>
            <w:tcW w:type="dxa" w:w="1568"/>
            <w:shd w:val="clear" w:color="auto" w:fill="FFFFFF"/>
          </w:tcPr>
          <w:p>
            <w:r>
              <w:rPr>
                <w:sz w:val="18"/>
              </w:rPr>
              <w:t>All corporate and clinical administrative staff (800 licences)</w:t>
            </w:r>
          </w:p>
        </w:tc>
        <w:tc>
          <w:tcPr>
            <w:tcW w:type="dxa" w:w="1568"/>
            <w:shd w:val="clear" w:color="auto" w:fill="FFFFFF"/>
          </w:tcPr>
          <w:p>
            <w:r>
              <w:rPr>
                <w:sz w:val="18"/>
              </w:rPr>
              <w:t>2.1 (annual)</w:t>
            </w:r>
          </w:p>
        </w:tc>
        <w:tc>
          <w:tcPr>
            <w:tcW w:type="dxa" w:w="1568"/>
            <w:shd w:val="clear" w:color="auto" w:fill="FFFFFF"/>
          </w:tcPr>
          <w:p>
            <w:r>
              <w:rPr>
                <w:sz w:val="18"/>
              </w:rPr>
              <w:t>Deployed</w:t>
            </w:r>
          </w:p>
        </w:tc>
      </w:tr>
      <w:tr>
        <w:tc>
          <w:tcPr>
            <w:tcW w:type="dxa" w:w="1568"/>
            <w:shd w:val="clear" w:color="auto" w:fill="E8F4F5"/>
          </w:tcPr>
          <w:p>
            <w:r>
              <w:rPr>
                <w:sz w:val="18"/>
              </w:rPr>
              <w:t>Patient Portal &amp; App</w:t>
            </w:r>
          </w:p>
        </w:tc>
        <w:tc>
          <w:tcPr>
            <w:tcW w:type="dxa" w:w="1568"/>
            <w:shd w:val="clear" w:color="auto" w:fill="E8F4F5"/>
          </w:tcPr>
          <w:p>
            <w:r>
              <w:rPr>
                <w:sz w:val="18"/>
              </w:rPr>
              <w:t>Custom (Azure; Contoso MyHealth)</w:t>
            </w:r>
          </w:p>
        </w:tc>
        <w:tc>
          <w:tcPr>
            <w:tcW w:type="dxa" w:w="1568"/>
            <w:shd w:val="clear" w:color="auto" w:fill="E8F4F5"/>
          </w:tcPr>
          <w:p>
            <w:r>
              <w:rPr>
                <w:sz w:val="18"/>
              </w:rPr>
              <w:t>Q4 FY2025</w:t>
            </w:r>
          </w:p>
        </w:tc>
        <w:tc>
          <w:tcPr>
            <w:tcW w:type="dxa" w:w="1568"/>
            <w:shd w:val="clear" w:color="auto" w:fill="E8F4F5"/>
          </w:tcPr>
          <w:p>
            <w:r>
              <w:rPr>
                <w:sz w:val="18"/>
              </w:rPr>
              <w:t>Patient records, appointment, billing, teleconsult</w:t>
            </w:r>
          </w:p>
        </w:tc>
        <w:tc>
          <w:tcPr>
            <w:tcW w:type="dxa" w:w="1568"/>
            <w:shd w:val="clear" w:color="auto" w:fill="E8F4F5"/>
          </w:tcPr>
          <w:p>
            <w:r>
              <w:rPr>
                <w:sz w:val="18"/>
              </w:rPr>
              <w:t>4.5</w:t>
            </w:r>
          </w:p>
        </w:tc>
        <w:tc>
          <w:tcPr>
            <w:tcW w:type="dxa" w:w="1568"/>
            <w:shd w:val="clear" w:color="auto" w:fill="E8F4F5"/>
          </w:tcPr>
          <w:p>
            <w:r>
              <w:rPr>
                <w:sz w:val="18"/>
              </w:rPr>
              <w:t>UAT</w:t>
            </w:r>
          </w:p>
        </w:tc>
      </w:tr>
      <w:tr>
        <w:tc>
          <w:tcPr>
            <w:tcW w:type="dxa" w:w="1568"/>
            <w:shd w:val="clear" w:color="auto" w:fill="FFFFFF"/>
          </w:tcPr>
          <w:p>
            <w:r>
              <w:rPr>
                <w:sz w:val="18"/>
              </w:rPr>
              <w:t>Predictive Analytics Platform</w:t>
            </w:r>
          </w:p>
        </w:tc>
        <w:tc>
          <w:tcPr>
            <w:tcW w:type="dxa" w:w="1568"/>
            <w:shd w:val="clear" w:color="auto" w:fill="FFFFFF"/>
          </w:tcPr>
          <w:p>
            <w:r>
              <w:rPr>
                <w:sz w:val="18"/>
              </w:rPr>
              <w:t>Microsoft Azure ML + Power BI</w:t>
            </w:r>
          </w:p>
        </w:tc>
        <w:tc>
          <w:tcPr>
            <w:tcW w:type="dxa" w:w="1568"/>
            <w:shd w:val="clear" w:color="auto" w:fill="FFFFFF"/>
          </w:tcPr>
          <w:p>
            <w:r>
              <w:rPr>
                <w:sz w:val="18"/>
              </w:rPr>
              <w:t>Q1 FY2026</w:t>
            </w:r>
          </w:p>
        </w:tc>
        <w:tc>
          <w:tcPr>
            <w:tcW w:type="dxa" w:w="1568"/>
            <w:shd w:val="clear" w:color="auto" w:fill="FFFFFF"/>
          </w:tcPr>
          <w:p>
            <w:r>
              <w:rPr>
                <w:sz w:val="18"/>
              </w:rPr>
              <w:t>Revenue, occupancy, ESG, workforce dashboards</w:t>
            </w:r>
          </w:p>
        </w:tc>
        <w:tc>
          <w:tcPr>
            <w:tcW w:type="dxa" w:w="1568"/>
            <w:shd w:val="clear" w:color="auto" w:fill="FFFFFF"/>
          </w:tcPr>
          <w:p>
            <w:r>
              <w:rPr>
                <w:sz w:val="18"/>
              </w:rPr>
              <w:t>3.0</w:t>
            </w:r>
          </w:p>
        </w:tc>
        <w:tc>
          <w:tcPr>
            <w:tcW w:type="dxa" w:w="1568"/>
            <w:shd w:val="clear" w:color="auto" w:fill="FFFFFF"/>
          </w:tcPr>
          <w:p>
            <w:r>
              <w:rPr>
                <w:sz w:val="18"/>
              </w:rPr>
              <w:t>In build</w:t>
            </w:r>
          </w:p>
        </w:tc>
      </w:tr>
      <w:tr>
        <w:tc>
          <w:tcPr>
            <w:tcW w:type="dxa" w:w="1568"/>
            <w:shd w:val="clear" w:color="auto" w:fill="E8F4F5"/>
          </w:tcPr>
          <w:p>
            <w:r>
              <w:rPr>
                <w:sz w:val="18"/>
              </w:rPr>
              <w:t>Supply Chain RFID</w:t>
            </w:r>
          </w:p>
        </w:tc>
        <w:tc>
          <w:tcPr>
            <w:tcW w:type="dxa" w:w="1568"/>
            <w:shd w:val="clear" w:color="auto" w:fill="E8F4F5"/>
          </w:tcPr>
          <w:p>
            <w:r>
              <w:rPr>
                <w:sz w:val="18"/>
              </w:rPr>
              <w:t>GS1 Malaysia + Zebra Technologies</w:t>
            </w:r>
          </w:p>
        </w:tc>
        <w:tc>
          <w:tcPr>
            <w:tcW w:type="dxa" w:w="1568"/>
            <w:shd w:val="clear" w:color="auto" w:fill="E8F4F5"/>
          </w:tcPr>
          <w:p>
            <w:r>
              <w:rPr>
                <w:sz w:val="18"/>
              </w:rPr>
              <w:t>FY2027</w:t>
            </w:r>
          </w:p>
        </w:tc>
        <w:tc>
          <w:tcPr>
            <w:tcW w:type="dxa" w:w="1568"/>
            <w:shd w:val="clear" w:color="auto" w:fill="E8F4F5"/>
          </w:tcPr>
          <w:p>
            <w:r>
              <w:rPr>
                <w:sz w:val="18"/>
              </w:rPr>
              <w:t>High-value consumables; pharmacy</w:t>
            </w:r>
          </w:p>
        </w:tc>
        <w:tc>
          <w:tcPr>
            <w:tcW w:type="dxa" w:w="1568"/>
            <w:shd w:val="clear" w:color="auto" w:fill="E8F4F5"/>
          </w:tcPr>
          <w:p>
            <w:r>
              <w:rPr>
                <w:sz w:val="18"/>
              </w:rPr>
              <w:t>8.0</w:t>
            </w:r>
          </w:p>
        </w:tc>
        <w:tc>
          <w:tcPr>
            <w:tcW w:type="dxa" w:w="1568"/>
            <w:shd w:val="clear" w:color="auto" w:fill="E8F4F5"/>
          </w:tcPr>
          <w:p>
            <w:r>
              <w:rPr>
                <w:sz w:val="18"/>
              </w:rPr>
              <w:t>Planned</w:t>
            </w:r>
          </w:p>
        </w:tc>
      </w:tr>
    </w:tbl>
    <w:p/>
    <w:p>
      <w:pPr>
        <w:pStyle w:val="Heading2"/>
        <w:spacing w:before="200" w:after="80"/>
      </w:pPr>
      <w:r>
        <w:rPr>
          <w:color w:val="003050"/>
          <w:sz w:val="24"/>
        </w:rPr>
        <w:t>3. AI Governance</w:t>
      </w:r>
    </w:p>
    <w:p>
      <w:pPr>
        <w:pStyle w:val="ListBullet"/>
        <w:spacing w:after="40"/>
      </w:pPr>
      <w:r>
        <w:rPr>
          <w:sz w:val="20"/>
        </w:rPr>
        <w:t>A Group AI Ethics Committee (chaired by Group Medical Director) reviews all clinical AI deployments.</w:t>
      </w:r>
    </w:p>
    <w:p>
      <w:pPr>
        <w:pStyle w:val="ListBullet"/>
        <w:spacing w:after="40"/>
      </w:pPr>
      <w:r>
        <w:rPr>
          <w:sz w:val="20"/>
        </w:rPr>
        <w:t>All AI models used in clinical decision support must undergo internal clinical validation and receive approval from the Clinical Advisory Committee before production deployment.</w:t>
      </w:r>
    </w:p>
    <w:p>
      <w:pPr>
        <w:pStyle w:val="ListBullet"/>
        <w:spacing w:after="40"/>
      </w:pPr>
      <w:r>
        <w:rPr>
          <w:sz w:val="20"/>
        </w:rPr>
        <w:t>Bias assessment required for all AI models that influence clinical or HR decisions.</w:t>
      </w:r>
    </w:p>
    <w:p>
      <w:pPr>
        <w:pStyle w:val="ListBullet"/>
        <w:spacing w:after="40"/>
      </w:pPr>
      <w:r>
        <w:rPr>
          <w:sz w:val="20"/>
        </w:rPr>
        <w:t>Microsoft 365 Copilot usage governed by AUP-AI-001; data residency confirmed to Azure Southeast Asia (Malaysia) region.</w:t>
      </w:r>
    </w:p>
    <w:p>
      <w:pPr>
        <w:pStyle w:val="Heading2"/>
        <w:spacing w:before="200" w:after="80"/>
      </w:pPr>
      <w:r>
        <w:rPr>
          <w:color w:val="003050"/>
          <w:sz w:val="24"/>
        </w:rPr>
        <w:t>4. Cybersecurity Requirements</w:t>
      </w:r>
    </w:p>
    <w:p>
      <w:pPr>
        <w:pStyle w:val="ListBullet"/>
        <w:spacing w:after="40"/>
      </w:pPr>
      <w:r>
        <w:rPr>
          <w:sz w:val="20"/>
        </w:rPr>
        <w:t>ISO/IEC 27001:2022 certification: KL (certified FY2024); PJ, Penang (target FY2026).</w:t>
      </w:r>
    </w:p>
    <w:p>
      <w:pPr>
        <w:pStyle w:val="ListBullet"/>
        <w:spacing w:after="40"/>
      </w:pPr>
      <w:r>
        <w:rPr>
          <w:sz w:val="20"/>
        </w:rPr>
        <w:t>Multi-factor authentication mandatory for all systems with access to patient data.</w:t>
      </w:r>
    </w:p>
    <w:p>
      <w:pPr>
        <w:pStyle w:val="ListBullet"/>
        <w:spacing w:after="40"/>
      </w:pPr>
      <w:r>
        <w:rPr>
          <w:sz w:val="20"/>
        </w:rPr>
        <w:t>Penetration testing: annually by approved CREST-certified vendor.</w:t>
      </w:r>
    </w:p>
    <w:p>
      <w:pPr>
        <w:pStyle w:val="ListBullet"/>
        <w:spacing w:after="40"/>
      </w:pPr>
      <w:r>
        <w:rPr>
          <w:sz w:val="20"/>
        </w:rPr>
        <w:t>Ransomware response: Recovery Time Objective (RTO) ≤4 hours; Recovery Point Objective (RPO) ≤1 hour for Tier 1 clinical systems.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