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IHH HEALTHCARE BRAND GUIDELINES</w:t>
      </w:r>
    </w:p>
    <w:p>
      <w:pPr>
        <w:pStyle w:val="Heading1"/>
      </w:pPr>
      <w:r>
        <w:t>Corporate Communications — Sample Document for Copilot Workshop</w:t>
      </w:r>
    </w:p>
    <w:p>
      <w:r>
        <w:t>Version 2.4 | Updated: January 2026 | Owner: Group Corporate Communications</w:t>
      </w:r>
    </w:p>
    <w:p>
      <w:r>
        <w:t>⚠️ SAMPLE DATA — For workshop demonstration purposes only.</w:t>
      </w:r>
    </w:p>
    <w:p>
      <w:r>
        <w:br w:type="page"/>
      </w:r>
    </w:p>
    <w:p>
      <w:pPr>
        <w:pStyle w:val="Heading1"/>
      </w:pPr>
      <w:r>
        <w:rPr>
          <w:color w:val="003087"/>
        </w:rPr>
        <w:t>SECTION 1: LOGO USAGE</w:t>
      </w:r>
    </w:p>
    <w:p>
      <w:pPr>
        <w:pStyle w:val="Heading2"/>
      </w:pPr>
      <w:r>
        <w:rPr>
          <w:color w:val="0064C8"/>
        </w:rPr>
        <w:t>1.1 Primary Logo</w:t>
      </w:r>
    </w:p>
    <w:p>
      <w:r>
        <w:t>The IHH Healthcare logo consists of the wordmark 'IHH Healthcare' with the registered trademark symbol (®). The logo must always appear in its approved versions. Never distort, rotate, or recreate the logo.</w:t>
      </w:r>
    </w:p>
    <w:p>
      <w:r>
        <w:t>Approved versions: Full colour on white (#003087 blue + #E8342C red heart), White reverse on IHH Blue, Monochrome black, Monochrome white.</w:t>
      </w:r>
    </w:p>
    <w:p>
      <w:pPr>
        <w:pStyle w:val="Heading2"/>
      </w:pPr>
      <w:r>
        <w:rPr>
          <w:color w:val="0064C8"/>
        </w:rPr>
        <w:t>1.2 Clear Space</w:t>
      </w:r>
    </w:p>
    <w:p>
      <w:r>
        <w:t>Minimum clear space around the logo equals the height of the 'H' in 'IHH'. No text, graphics, or other logos may appear within this space.</w:t>
      </w:r>
    </w:p>
    <w:p>
      <w:pPr>
        <w:pStyle w:val="Heading2"/>
      </w:pPr>
      <w:r>
        <w:rPr>
          <w:color w:val="0064C8"/>
        </w:rPr>
        <w:t>1.3 Minimum Size</w:t>
      </w:r>
    </w:p>
    <w:p>
      <w:r>
        <w:t>Print: Minimum 20mm wide. Digital: Minimum 80px wide. Never scale below these minimums.</w:t>
      </w:r>
    </w:p>
    <w:p>
      <w:pPr>
        <w:pStyle w:val="Heading2"/>
      </w:pPr>
      <w:r>
        <w:rPr>
          <w:color w:val="0064C8"/>
        </w:rPr>
        <w:t>1.4 Logo Don'ts</w:t>
      </w:r>
    </w:p>
    <w:p>
      <w:pPr>
        <w:pStyle w:val="ListBullet"/>
      </w:pPr>
      <w:r>
        <w:t>Do NOT use the logo on busy photographic backgrounds without a white/blue container</w:t>
      </w:r>
    </w:p>
    <w:p>
      <w:pPr>
        <w:pStyle w:val="ListBullet"/>
      </w:pPr>
      <w:r>
        <w:t>Do NOT change the logo colours</w:t>
      </w:r>
    </w:p>
    <w:p>
      <w:pPr>
        <w:pStyle w:val="ListBullet"/>
      </w:pPr>
      <w:r>
        <w:t>Do NOT add drop shadows, gradients, or effects</w:t>
      </w:r>
    </w:p>
    <w:p>
      <w:pPr>
        <w:pStyle w:val="ListBullet"/>
      </w:pPr>
      <w:r>
        <w:t>Do NOT use outdated logo versions (pre-2020)</w:t>
      </w:r>
    </w:p>
    <w:p>
      <w:pPr>
        <w:pStyle w:val="ListBullet"/>
      </w:pPr>
      <w:r>
        <w:t>Do NOT recreate the logo in PowerPoint or Word</w:t>
      </w:r>
    </w:p>
    <w:p>
      <w:r>
        <w:br w:type="page"/>
      </w:r>
    </w:p>
    <w:p>
      <w:pPr>
        <w:pStyle w:val="Heading1"/>
      </w:pPr>
      <w:r>
        <w:rPr>
          <w:color w:val="003087"/>
        </w:rPr>
        <w:t>SECTION 2: 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Colour Name</w:t>
            </w:r>
          </w:p>
        </w:tc>
        <w:tc>
          <w:tcPr>
            <w:tcW w:type="dxa" w:w="1728"/>
          </w:tcPr>
          <w:p>
            <w:r>
              <w:t>HEX</w:t>
            </w:r>
          </w:p>
        </w:tc>
        <w:tc>
          <w:tcPr>
            <w:tcW w:type="dxa" w:w="1728"/>
          </w:tcPr>
          <w:p>
            <w:r>
              <w:t>RGB</w:t>
            </w:r>
          </w:p>
        </w:tc>
        <w:tc>
          <w:tcPr>
            <w:tcW w:type="dxa" w:w="1728"/>
          </w:tcPr>
          <w:p>
            <w:r>
              <w:t>CMYK</w:t>
            </w:r>
          </w:p>
        </w:tc>
        <w:tc>
          <w:tcPr>
            <w:tcW w:type="dxa" w:w="1728"/>
          </w:tcPr>
          <w:p>
            <w:r>
              <w:t>Usage</w:t>
            </w:r>
          </w:p>
        </w:tc>
      </w:tr>
      <w:tr>
        <w:tc>
          <w:tcPr>
            <w:tcW w:type="dxa" w:w="1728"/>
          </w:tcPr>
          <w:p>
            <w:r>
              <w:t>IHH Deep Blue (Primary)</w:t>
            </w:r>
          </w:p>
        </w:tc>
        <w:tc>
          <w:tcPr>
            <w:tcW w:type="dxa" w:w="1728"/>
          </w:tcPr>
          <w:p>
            <w:r>
              <w:t>#003087</w:t>
            </w:r>
          </w:p>
        </w:tc>
        <w:tc>
          <w:tcPr>
            <w:tcW w:type="dxa" w:w="1728"/>
          </w:tcPr>
          <w:p>
            <w:r>
              <w:t>0, 48, 135</w:t>
            </w:r>
          </w:p>
        </w:tc>
        <w:tc>
          <w:tcPr>
            <w:tcW w:type="dxa" w:w="1728"/>
          </w:tcPr>
          <w:p>
            <w:r>
              <w:t>100, 65, 0, 47</w:t>
            </w:r>
          </w:p>
        </w:tc>
        <w:tc>
          <w:tcPr>
            <w:tcW w:type="dxa" w:w="1728"/>
          </w:tcPr>
          <w:p>
            <w:r>
              <w:t>Logo, headings, primary backgrounds</w:t>
            </w:r>
          </w:p>
        </w:tc>
      </w:tr>
      <w:tr>
        <w:tc>
          <w:tcPr>
            <w:tcW w:type="dxa" w:w="1728"/>
          </w:tcPr>
          <w:p>
            <w:r>
              <w:t>IHH Sky Blue (Secondary)</w:t>
            </w:r>
          </w:p>
        </w:tc>
        <w:tc>
          <w:tcPr>
            <w:tcW w:type="dxa" w:w="1728"/>
          </w:tcPr>
          <w:p>
            <w:r>
              <w:t>#0064C8</w:t>
            </w:r>
          </w:p>
        </w:tc>
        <w:tc>
          <w:tcPr>
            <w:tcW w:type="dxa" w:w="1728"/>
          </w:tcPr>
          <w:p>
            <w:r>
              <w:t>0, 100, 200</w:t>
            </w:r>
          </w:p>
        </w:tc>
        <w:tc>
          <w:tcPr>
            <w:tcW w:type="dxa" w:w="1728"/>
          </w:tcPr>
          <w:p>
            <w:r>
              <w:t>100, 50, 0, 22</w:t>
            </w:r>
          </w:p>
        </w:tc>
        <w:tc>
          <w:tcPr>
            <w:tcW w:type="dxa" w:w="1728"/>
          </w:tcPr>
          <w:p>
            <w:r>
              <w:t>Accents, buttons, links</w:t>
            </w:r>
          </w:p>
        </w:tc>
      </w:tr>
      <w:tr>
        <w:tc>
          <w:tcPr>
            <w:tcW w:type="dxa" w:w="1728"/>
          </w:tcPr>
          <w:p>
            <w:r>
              <w:t>IHH Red Heart</w:t>
            </w:r>
          </w:p>
        </w:tc>
        <w:tc>
          <w:tcPr>
            <w:tcW w:type="dxa" w:w="1728"/>
          </w:tcPr>
          <w:p>
            <w:r>
              <w:t>#E8342C</w:t>
            </w:r>
          </w:p>
        </w:tc>
        <w:tc>
          <w:tcPr>
            <w:tcW w:type="dxa" w:w="1728"/>
          </w:tcPr>
          <w:p>
            <w:r>
              <w:t>232, 52, 44</w:t>
            </w:r>
          </w:p>
        </w:tc>
        <w:tc>
          <w:tcPr>
            <w:tcW w:type="dxa" w:w="1728"/>
          </w:tcPr>
          <w:p>
            <w:r>
              <w:t>0, 78, 81, 9</w:t>
            </w:r>
          </w:p>
        </w:tc>
        <w:tc>
          <w:tcPr>
            <w:tcW w:type="dxa" w:w="1728"/>
          </w:tcPr>
          <w:p>
            <w:r>
              <w:t>Heart in logo only — do not use elsewhere</w:t>
            </w:r>
          </w:p>
        </w:tc>
      </w:tr>
      <w:tr>
        <w:tc>
          <w:tcPr>
            <w:tcW w:type="dxa" w:w="1728"/>
          </w:tcPr>
          <w:p>
            <w:r>
              <w:t>IHH Light Blue</w:t>
            </w:r>
          </w:p>
        </w:tc>
        <w:tc>
          <w:tcPr>
            <w:tcW w:type="dxa" w:w="1728"/>
          </w:tcPr>
          <w:p>
            <w:r>
              <w:t>#E8F0FE</w:t>
            </w:r>
          </w:p>
        </w:tc>
        <w:tc>
          <w:tcPr>
            <w:tcW w:type="dxa" w:w="1728"/>
          </w:tcPr>
          <w:p>
            <w:r>
              <w:t>232, 240, 254</w:t>
            </w:r>
          </w:p>
        </w:tc>
        <w:tc>
          <w:tcPr>
            <w:tcW w:type="dxa" w:w="1728"/>
          </w:tcPr>
          <w:p>
            <w:r>
              <w:t>9, 6, 0, 0</w:t>
            </w:r>
          </w:p>
        </w:tc>
        <w:tc>
          <w:tcPr>
            <w:tcW w:type="dxa" w:w="1728"/>
          </w:tcPr>
          <w:p>
            <w:r>
              <w:t>Backgrounds, infographic fills</w:t>
            </w:r>
          </w:p>
        </w:tc>
      </w:tr>
      <w:tr>
        <w:tc>
          <w:tcPr>
            <w:tcW w:type="dxa" w:w="1728"/>
          </w:tcPr>
          <w:p>
            <w:r>
              <w:t>Warm White</w:t>
            </w:r>
          </w:p>
        </w:tc>
        <w:tc>
          <w:tcPr>
            <w:tcW w:type="dxa" w:w="1728"/>
          </w:tcPr>
          <w:p>
            <w:r>
              <w:t>#F8F9FA</w:t>
            </w:r>
          </w:p>
        </w:tc>
        <w:tc>
          <w:tcPr>
            <w:tcW w:type="dxa" w:w="1728"/>
          </w:tcPr>
          <w:p>
            <w:r>
              <w:t>248, 249, 250</w:t>
            </w:r>
          </w:p>
        </w:tc>
        <w:tc>
          <w:tcPr>
            <w:tcW w:type="dxa" w:w="1728"/>
          </w:tcPr>
          <w:p>
            <w:r>
              <w:t>0, 0, 0, 2</w:t>
            </w:r>
          </w:p>
        </w:tc>
        <w:tc>
          <w:tcPr>
            <w:tcW w:type="dxa" w:w="1728"/>
          </w:tcPr>
          <w:p>
            <w:r>
              <w:t>Page backgrounds, cards</w:t>
            </w:r>
          </w:p>
        </w:tc>
      </w:tr>
      <w:tr>
        <w:tc>
          <w:tcPr>
            <w:tcW w:type="dxa" w:w="1728"/>
          </w:tcPr>
          <w:p>
            <w:r>
              <w:t>Charcoal</w:t>
            </w:r>
          </w:p>
        </w:tc>
        <w:tc>
          <w:tcPr>
            <w:tcW w:type="dxa" w:w="1728"/>
          </w:tcPr>
          <w:p>
            <w:r>
              <w:t>#2D3748</w:t>
            </w:r>
          </w:p>
        </w:tc>
        <w:tc>
          <w:tcPr>
            <w:tcW w:type="dxa" w:w="1728"/>
          </w:tcPr>
          <w:p>
            <w:r>
              <w:t>45, 55, 72</w:t>
            </w:r>
          </w:p>
        </w:tc>
        <w:tc>
          <w:tcPr>
            <w:tcW w:type="dxa" w:w="1728"/>
          </w:tcPr>
          <w:p>
            <w:r>
              <w:t>0, 0, 0, 72</w:t>
            </w:r>
          </w:p>
        </w:tc>
        <w:tc>
          <w:tcPr>
            <w:tcW w:type="dxa" w:w="1728"/>
          </w:tcPr>
          <w:p>
            <w:r>
              <w:t>Body copy, captions</w:t>
            </w:r>
          </w:p>
        </w:tc>
      </w:tr>
      <w:tr>
        <w:tc>
          <w:tcPr>
            <w:tcW w:type="dxa" w:w="1728"/>
          </w:tcPr>
          <w:p>
            <w:r>
              <w:t>Success Green</w:t>
            </w:r>
          </w:p>
        </w:tc>
        <w:tc>
          <w:tcPr>
            <w:tcW w:type="dxa" w:w="1728"/>
          </w:tcPr>
          <w:p>
            <w:r>
              <w:t>#38A169</w:t>
            </w:r>
          </w:p>
        </w:tc>
        <w:tc>
          <w:tcPr>
            <w:tcW w:type="dxa" w:w="1728"/>
          </w:tcPr>
          <w:p>
            <w:r>
              <w:t>56, 161, 105</w:t>
            </w:r>
          </w:p>
        </w:tc>
        <w:tc>
          <w:tcPr>
            <w:tcW w:type="dxa" w:w="1728"/>
          </w:tcPr>
          <w:p>
            <w:r>
              <w:t>65, 0, 35, 37</w:t>
            </w:r>
          </w:p>
        </w:tc>
        <w:tc>
          <w:tcPr>
            <w:tcW w:type="dxa" w:w="1728"/>
          </w:tcPr>
          <w:p>
            <w:r>
              <w:t>Positive indicators, sustainability</w:t>
            </w:r>
          </w:p>
        </w:tc>
      </w:tr>
      <w:tr>
        <w:tc>
          <w:tcPr>
            <w:tcW w:type="dxa" w:w="1728"/>
          </w:tcPr>
          <w:p>
            <w:r>
              <w:t>Alert Orange</w:t>
            </w:r>
          </w:p>
        </w:tc>
        <w:tc>
          <w:tcPr>
            <w:tcW w:type="dxa" w:w="1728"/>
          </w:tcPr>
          <w:p>
            <w:r>
              <w:t>#DD6B20</w:t>
            </w:r>
          </w:p>
        </w:tc>
        <w:tc>
          <w:tcPr>
            <w:tcW w:type="dxa" w:w="1728"/>
          </w:tcPr>
          <w:p>
            <w:r>
              <w:t>221, 107, 32</w:t>
            </w:r>
          </w:p>
        </w:tc>
        <w:tc>
          <w:tcPr>
            <w:tcW w:type="dxa" w:w="1728"/>
          </w:tcPr>
          <w:p>
            <w:r>
              <w:t>0, 52, 86, 13</w:t>
            </w:r>
          </w:p>
        </w:tc>
        <w:tc>
          <w:tcPr>
            <w:tcW w:type="dxa" w:w="1728"/>
          </w:tcPr>
          <w:p>
            <w:r>
              <w:t>Warnings, important callouts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087"/>
        </w:rPr>
        <w:t>SECTION 3: TYPOGRAPHY</w:t>
      </w:r>
    </w:p>
    <w:p>
      <w:pPr>
        <w:pStyle w:val="Heading2"/>
      </w:pPr>
      <w:r>
        <w:rPr>
          <w:color w:val="0064C8"/>
        </w:rPr>
        <w:t>3.1 Primary Typeface: Source Sans Pro</w:t>
      </w:r>
    </w:p>
    <w:p>
      <w:r>
        <w:t>Display/H1: Source Sans Pro Bold, 36-48pt | H2: Source Sans Pro SemiBold, 24-32pt | H3: Source Sans Pro SemiBold, 18-22pt | Body: Source Sans Pro Regular, 11-12pt | Caption: Source Sans Pro Light, 9-10pt</w:t>
      </w:r>
    </w:p>
    <w:p>
      <w:pPr>
        <w:pStyle w:val="Heading2"/>
      </w:pPr>
      <w:r>
        <w:rPr>
          <w:color w:val="0064C8"/>
        </w:rPr>
        <w:t>3.2 Fallback Typeface: Calibri</w:t>
      </w:r>
    </w:p>
    <w:p>
      <w:r>
        <w:t>For Microsoft Office documents (Word, PowerPoint, Outlook): Headings: Calibri Bold | Body: Calibri Regular | Do not use Arial, Times New Roman, or decorative fonts in official communications.</w:t>
      </w:r>
    </w:p>
    <w:p>
      <w:pPr>
        <w:pStyle w:val="Heading2"/>
      </w:pPr>
      <w:r>
        <w:rPr>
          <w:color w:val="0064C8"/>
        </w:rPr>
        <w:t>3.3 Typography Rules</w:t>
      </w:r>
    </w:p>
    <w:p>
      <w:pPr>
        <w:pStyle w:val="ListBullet"/>
      </w:pPr>
      <w:r>
        <w:t>Never use ALL CAPS for body text — use sparingly in headings only</w:t>
      </w:r>
    </w:p>
    <w:p>
      <w:pPr>
        <w:pStyle w:val="ListBullet"/>
      </w:pPr>
      <w:r>
        <w:t>Minimum body text: 11pt (print), 14px (digital)</w:t>
      </w:r>
    </w:p>
    <w:p>
      <w:pPr>
        <w:pStyle w:val="ListBullet"/>
      </w:pPr>
      <w:r>
        <w:t>Line spacing: 1.4 for body copy, 1.2 for headings</w:t>
      </w:r>
    </w:p>
    <w:p>
      <w:pPr>
        <w:pStyle w:val="ListBullet"/>
      </w:pPr>
      <w:r>
        <w:t>No justified text — always left-aligned or centred for titles</w:t>
      </w:r>
    </w:p>
    <w:p>
      <w:r>
        <w:br w:type="page"/>
      </w:r>
    </w:p>
    <w:p>
      <w:pPr>
        <w:pStyle w:val="Heading1"/>
      </w:pPr>
      <w:r>
        <w:rPr>
          <w:color w:val="003087"/>
        </w:rPr>
        <w:t>SECTION 4: TONE OF VOICE</w:t>
      </w:r>
    </w:p>
    <w:p>
      <w:pPr>
        <w:pStyle w:val="Heading2"/>
      </w:pPr>
      <w:r>
        <w:rPr>
          <w:color w:val="0064C8"/>
        </w:rPr>
        <w:t>4.1 Brand Personality</w:t>
      </w:r>
    </w:p>
    <w:p>
      <w:r>
        <w:t>IHH Healthcare's voice reflects four core traits:</w:t>
      </w:r>
    </w:p>
    <w:p>
      <w:r>
        <w:rPr>
          <w:b/>
        </w:rPr>
        <w:t xml:space="preserve">Caring: </w:t>
      </w:r>
      <w:r>
        <w:t>We speak with warmth and empathy. Healthcare is personal — our language reflects that.</w:t>
      </w:r>
    </w:p>
    <w:p>
      <w:r>
        <w:rPr>
          <w:b/>
        </w:rPr>
        <w:t xml:space="preserve">Expert: </w:t>
      </w:r>
      <w:r>
        <w:t>We are confident and evidence-based. We don't hedge unnecessarily, but we're never arrogant.</w:t>
      </w:r>
    </w:p>
    <w:p>
      <w:r>
        <w:rPr>
          <w:b/>
        </w:rPr>
        <w:t xml:space="preserve">Accessible: </w:t>
      </w:r>
      <w:r>
        <w:t>We avoid jargon. Our patients and stakeholders come from all walks of life.</w:t>
      </w:r>
    </w:p>
    <w:p>
      <w:r>
        <w:rPr>
          <w:b/>
        </w:rPr>
        <w:t xml:space="preserve">Innovative: </w:t>
      </w:r>
      <w:r>
        <w:t>We embrace progress. We speak with optimism about technology, science, and the future of healthcare.</w:t>
      </w:r>
    </w:p>
    <w:p>
      <w:pPr>
        <w:pStyle w:val="Heading2"/>
      </w:pPr>
      <w:r>
        <w:rPr>
          <w:color w:val="0064C8"/>
        </w:rPr>
        <w:t>4.2 Do Say / Don't Say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✅ Do Say</w:t>
            </w:r>
          </w:p>
        </w:tc>
        <w:tc>
          <w:tcPr>
            <w:tcW w:type="dxa" w:w="2880"/>
          </w:tcPr>
          <w:p>
            <w:r>
              <w:t>❌ Don't Say</w:t>
            </w:r>
          </w:p>
        </w:tc>
      </w:tr>
      <w:tr>
        <w:tc>
          <w:tcPr>
            <w:tcW w:type="dxa" w:w="2880"/>
          </w:tcPr>
          <w:p>
            <w:r>
              <w:t>Medical outcomes</w:t>
            </w:r>
          </w:p>
        </w:tc>
        <w:tc>
          <w:tcPr>
            <w:tcW w:type="dxa" w:w="2880"/>
          </w:tcPr>
          <w:p>
            <w:r>
              <w:t>'Our patients achieve better recovery outcomes'</w:t>
            </w:r>
          </w:p>
        </w:tc>
        <w:tc>
          <w:tcPr>
            <w:tcW w:type="dxa" w:w="2880"/>
          </w:tcPr>
          <w:p>
            <w:r>
              <w:t>'We guarantee full recovery'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'AI-assisted diagnostics support our doctors'</w:t>
            </w:r>
          </w:p>
        </w:tc>
        <w:tc>
          <w:tcPr>
            <w:tcW w:type="dxa" w:w="2880"/>
          </w:tcPr>
          <w:p>
            <w:r>
              <w:t>'AI replaces doctors'</w:t>
            </w:r>
          </w:p>
        </w:tc>
      </w:tr>
      <w:tr>
        <w:tc>
          <w:tcPr>
            <w:tcW w:type="dxa" w:w="2880"/>
          </w:tcPr>
          <w:p>
            <w:r>
              <w:t>Competitors</w:t>
            </w:r>
          </w:p>
        </w:tc>
        <w:tc>
          <w:tcPr>
            <w:tcW w:type="dxa" w:w="2880"/>
          </w:tcPr>
          <w:p>
            <w:r>
              <w:t>Silence or 'IHH is committed to...'</w:t>
            </w:r>
          </w:p>
        </w:tc>
        <w:tc>
          <w:tcPr>
            <w:tcW w:type="dxa" w:w="2880"/>
          </w:tcPr>
          <w:p>
            <w:r>
              <w:t>Any competitor naming or comparison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'Contact us for a personalised treatment plan'</w:t>
            </w:r>
          </w:p>
        </w:tc>
        <w:tc>
          <w:tcPr>
            <w:tcW w:type="dxa" w:w="2880"/>
          </w:tcPr>
          <w:p>
            <w:r>
              <w:t>Specific price claims without disclaimer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'Our dedicated clinical team'</w:t>
            </w:r>
          </w:p>
        </w:tc>
        <w:tc>
          <w:tcPr>
            <w:tcW w:type="dxa" w:w="2880"/>
          </w:tcPr>
          <w:p>
            <w:r>
              <w:t>'World-class doctors' (unsubstantiated)</w:t>
            </w:r>
          </w:p>
        </w:tc>
      </w:tr>
      <w:tr>
        <w:tc>
          <w:tcPr>
            <w:tcW w:type="dxa" w:w="2880"/>
          </w:tcPr>
          <w:p>
            <w:r>
              <w:t>Sustainability</w:t>
            </w:r>
          </w:p>
        </w:tc>
        <w:tc>
          <w:tcPr>
            <w:tcW w:type="dxa" w:w="2880"/>
          </w:tcPr>
          <w:p>
            <w:r>
              <w:t>'Progressing toward our Net Zero 2050 commitment'</w:t>
            </w:r>
          </w:p>
        </w:tc>
        <w:tc>
          <w:tcPr>
            <w:tcW w:type="dxa" w:w="2880"/>
          </w:tcPr>
          <w:p>
            <w:r>
              <w:t>'We are green / eco-friendly'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087"/>
        </w:rPr>
        <w:t>SECTION 5: APPROVED MESSAGING TEMPLATES</w:t>
      </w:r>
    </w:p>
    <w:p>
      <w:pPr>
        <w:pStyle w:val="Heading2"/>
      </w:pPr>
      <w:r>
        <w:rPr>
          <w:color w:val="0064C8"/>
        </w:rPr>
        <w:t>5.1 Press Release Opening Formula</w:t>
      </w:r>
    </w:p>
    <w:p>
      <w:r>
        <w:t>KUALA LUMPUR, [DATE] — IHH Healthcare Berhad (Bursa: 5225), [one sentence context]. [Key announcement in plain English.] [Quote from senior leader — must be pre-approved by Communications and the leader themselves.] [Supporting facts or statistics.] [About IHH Healthcare boilerplate.]</w:t>
      </w:r>
    </w:p>
    <w:p>
      <w:pPr>
        <w:pStyle w:val="Heading2"/>
      </w:pPr>
      <w:r>
        <w:rPr>
          <w:color w:val="0064C8"/>
        </w:rPr>
        <w:t>5.2 Social Media Templates</w:t>
      </w:r>
    </w:p>
    <w:p>
      <w:r>
        <w:rPr>
          <w:b/>
        </w:rPr>
        <w:t>Milestone announcement:</w:t>
        <w:br/>
      </w:r>
      <w:r>
        <w:t>We're proud to share that [Hospital Name] has [achievement]. This reflects our commitment to Making Life Better for every patient we serve. #IHHHealthcare #MakingLifeBetter</w:t>
      </w:r>
    </w:p>
    <w:p>
      <w:r>
        <w:rPr>
          <w:b/>
        </w:rPr>
        <w:t>Clinical achievement:</w:t>
        <w:br/>
      </w:r>
      <w:r>
        <w:t>Our team at [Hospital] has [clinical milestone]. Learn more about our [specialty] services: [link] #Healthcare #Innovation</w:t>
      </w:r>
    </w:p>
    <w:p>
      <w:r>
        <w:rPr>
          <w:b/>
        </w:rPr>
        <w:t>ESG/Sustainability:</w:t>
        <w:br/>
      </w:r>
      <w:r>
        <w:t>Our journey to Net Zero continues. In [period], [Hospital] reduced carbon emissions by [X]% — one step closer to our 2050 commitment. #Sustainability #IHHHealthcare</w:t>
      </w:r>
    </w:p>
    <w:p>
      <w:r>
        <w:br w:type="page"/>
      </w:r>
    </w:p>
    <w:p>
      <w:pPr>
        <w:pStyle w:val="Heading1"/>
      </w:pPr>
      <w:r>
        <w:rPr>
          <w:color w:val="003087"/>
        </w:rPr>
        <w:t>SECTION 6: SOCIAL MEDIA GUIDELINES</w:t>
      </w:r>
    </w:p>
    <w:p>
      <w:r>
        <w:t>Approved Channels: LinkedIn (corporate + hospital accounts), Facebook (hospital accounts), Instagram (hospital accounts), Twitter/X (corporate @IHHHealthcare only). TikTok: pilot programme for selected hospitals — approval from Group Comms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Tone</w:t>
            </w:r>
          </w:p>
        </w:tc>
        <w:tc>
          <w:tcPr>
            <w:tcW w:type="dxa" w:w="2160"/>
          </w:tcPr>
          <w:p>
            <w:r>
              <w:t>Image Ratio</w:t>
            </w:r>
          </w:p>
        </w:tc>
        <w:tc>
          <w:tcPr>
            <w:tcW w:type="dxa" w:w="2160"/>
          </w:tcPr>
          <w:p>
            <w:r>
              <w:t>Post Frequency</w:t>
            </w:r>
          </w:p>
        </w:tc>
      </w:tr>
      <w:tr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Professional, data-driven, thought leadership</w:t>
            </w:r>
          </w:p>
        </w:tc>
        <w:tc>
          <w:tcPr>
            <w:tcW w:type="dxa" w:w="2160"/>
          </w:tcPr>
          <w:p>
            <w:r>
              <w:t>1200x627px</w:t>
            </w:r>
          </w:p>
        </w:tc>
        <w:tc>
          <w:tcPr>
            <w:tcW w:type="dxa" w:w="2160"/>
          </w:tcPr>
          <w:p>
            <w:r>
              <w:t>3x/week minimum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Warm, community-focused, patient stories</w:t>
            </w:r>
          </w:p>
        </w:tc>
        <w:tc>
          <w:tcPr>
            <w:tcW w:type="dxa" w:w="2160"/>
          </w:tcPr>
          <w:p>
            <w:r>
              <w:t>1200x630px</w:t>
            </w:r>
          </w:p>
        </w:tc>
        <w:tc>
          <w:tcPr>
            <w:tcW w:type="dxa" w:w="2160"/>
          </w:tcPr>
          <w:p>
            <w:r>
              <w:t>Daily (hospitals), 3x/week (corporate)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Visual, inspiring, human stories</w:t>
            </w:r>
          </w:p>
        </w:tc>
        <w:tc>
          <w:tcPr>
            <w:tcW w:type="dxa" w:w="2160"/>
          </w:tcPr>
          <w:p>
            <w:r>
              <w:t>1080x1080px (feed), 1080x1920 (stories)</w:t>
            </w:r>
          </w:p>
        </w:tc>
        <w:tc>
          <w:tcPr>
            <w:tcW w:type="dxa" w:w="2160"/>
          </w:tcPr>
          <w:p>
            <w:r>
              <w:t>5x/week</w:t>
            </w:r>
          </w:p>
        </w:tc>
      </w:tr>
      <w:tr>
        <w:tc>
          <w:tcPr>
            <w:tcW w:type="dxa" w:w="2160"/>
          </w:tcPr>
          <w:p>
            <w:r>
              <w:t>Twitter/X</w:t>
            </w:r>
          </w:p>
        </w:tc>
        <w:tc>
          <w:tcPr>
            <w:tcW w:type="dxa" w:w="2160"/>
          </w:tcPr>
          <w:p>
            <w:r>
              <w:t>Concise, news-driven, responsive</w:t>
            </w:r>
          </w:p>
        </w:tc>
        <w:tc>
          <w:tcPr>
            <w:tcW w:type="dxa" w:w="2160"/>
          </w:tcPr>
          <w:p>
            <w:r>
              <w:t>1200x675px</w:t>
            </w:r>
          </w:p>
        </w:tc>
        <w:tc>
          <w:tcPr>
            <w:tcW w:type="dxa" w:w="2160"/>
          </w:tcPr>
          <w:p>
            <w:r>
              <w:t>As needed — news + events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087"/>
        </w:rPr>
        <w:t>SECTION 7: PRESS RELEASE TEMPLATE</w:t>
      </w:r>
    </w:p>
    <w:p>
      <w:r>
        <w:t>FOR IMMEDIATE RELEASE / EMBARGOED UNTIL [DATE &amp; TIME]</w:t>
        <w:br/>
        <w:br/>
        <w:t>[HEADLINE IN BOLD — NEWS LEAD, NOT MARKETING]</w:t>
        <w:br/>
        <w:t>[Subheadline — supporting context in one line]</w:t>
        <w:br/>
        <w:br/>
        <w:t>KUALA LUMPUR, [DATE] — [LEAD PARAGRAPH: Who, what, where, when, why — in 40 words or less.]</w:t>
        <w:br/>
        <w:br/>
        <w:t>[BODY PARAGRAPHS: Supporting detail, statistics, context. Each paragraph max 3 sentences. No jargon.]</w:t>
        <w:br/>
        <w:br/>
        <w:t>"[QUOTE from senior IHH leader — pre-approved]," said [Name, Title], IHH Healthcare.</w:t>
        <w:br/>
        <w:br/>
        <w:t>[OPTIONAL: Second quote from hospital CEO or clinician — if relevant]</w:t>
        <w:br/>
        <w:br/>
        <w:t>About IHH Healthcare Berhad</w:t>
        <w:br/>
        <w:t>IHH Healthcare Berhad (Bursa: 5225 | SGX: Q0F) is one of the world's largest private healthcare groups, operating [X] hospitals and medical facilities across [X] countries. Headquartered in Kuala Lumpur, IHH is committed to Making Life Better through quality, innovative, and accessible healthcare.</w:t>
        <w:br/>
        <w:br/>
        <w:t>For media enquiries: Group Corporate Communications | comms@ihhhealthcare.com | +603-XXXX-XXXX</w:t>
        <w:br/>
        <w:br/>
        <w:t>###</w:t>
      </w:r>
    </w:p>
    <w:p>
      <w:pPr>
        <w:pStyle w:val="Heading1"/>
      </w:pPr>
      <w:r>
        <w:rPr>
          <w:color w:val="003087"/>
        </w:rPr>
        <w:t>SECTION 8: DO'S AND DON'TS CHECKLIST</w:t>
      </w:r>
    </w:p>
    <w:p>
      <w:r>
        <w:rPr>
          <w:b/>
        </w:rPr>
        <w:t>✅ DO</w:t>
      </w:r>
    </w:p>
    <w:p>
      <w:pPr>
        <w:pStyle w:val="ListBullet"/>
      </w:pPr>
      <w:r>
        <w:t>Always use approved logo files — download from IHH Brand Hub (SharePoint)</w:t>
      </w:r>
    </w:p>
    <w:p>
      <w:pPr>
        <w:pStyle w:val="ListBullet"/>
      </w:pPr>
      <w:r>
        <w:t>Get Communications approval before any press release, media interview, or public statement</w:t>
      </w:r>
    </w:p>
    <w:p>
      <w:pPr>
        <w:pStyle w:val="ListBullet"/>
      </w:pPr>
      <w:r>
        <w:t>Follow the tone of voice guide — warm, expert, accessible</w:t>
      </w:r>
    </w:p>
    <w:p>
      <w:pPr>
        <w:pStyle w:val="ListBullet"/>
      </w:pPr>
      <w:r>
        <w:t>Use approved messaging templates as starting points</w:t>
      </w:r>
    </w:p>
    <w:p>
      <w:pPr>
        <w:pStyle w:val="ListBullet"/>
      </w:pPr>
      <w:r>
        <w:t>Cite sources for statistics (WHO, Ministry of Health, Bursa filings)</w:t>
      </w:r>
    </w:p>
    <w:p>
      <w:pPr>
        <w:pStyle w:val="ListBullet"/>
      </w:pPr>
      <w:r>
        <w:t>Disclose IHH's Bursa/SGX listing codes in financial communications</w:t>
      </w:r>
    </w:p>
    <w:p>
      <w:pPr>
        <w:pStyle w:val="ListBullet"/>
      </w:pPr>
      <w:r>
        <w:t>Get Medical Director sign-off for all clinical claims</w:t>
      </w:r>
    </w:p>
    <w:p>
      <w:r>
        <w:rPr>
          <w:b/>
        </w:rPr>
        <w:t>❌ DON'T</w:t>
      </w:r>
    </w:p>
    <w:p>
      <w:pPr>
        <w:pStyle w:val="ListBullet"/>
      </w:pPr>
      <w:r>
        <w:t>Do NOT name competitors in external communications</w:t>
      </w:r>
    </w:p>
    <w:p>
      <w:pPr>
        <w:pStyle w:val="ListBullet"/>
      </w:pPr>
      <w:r>
        <w:t>Do NOT make clinical outcome guarantees</w:t>
      </w:r>
    </w:p>
    <w:p>
      <w:pPr>
        <w:pStyle w:val="ListBullet"/>
      </w:pPr>
      <w:r>
        <w:t>Do NOT publish patient photos/names without signed consent (Form COMMS-T01)</w:t>
      </w:r>
    </w:p>
    <w:p>
      <w:pPr>
        <w:pStyle w:val="ListBullet"/>
      </w:pPr>
      <w:r>
        <w:t>Do NOT use the red heart element outside of the logo context</w:t>
      </w:r>
    </w:p>
    <w:p>
      <w:pPr>
        <w:pStyle w:val="ListBullet"/>
      </w:pPr>
      <w:r>
        <w:t>Do NOT create your own logo variants or templates</w:t>
      </w:r>
    </w:p>
    <w:p>
      <w:pPr>
        <w:pStyle w:val="ListBullet"/>
      </w:pPr>
      <w:r>
        <w:t>Do NOT use social media to address patient complaints — redirect to patient relations</w:t>
      </w:r>
    </w:p>
    <w:p>
      <w:pPr>
        <w:pStyle w:val="ListBullet"/>
      </w:pPr>
      <w:r>
        <w:t>Do NOT quote pricing in communications — refer to hospital enquiry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