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IHH HEALTHCARE BERHAD</w:t>
      </w:r>
    </w:p>
    <w:p>
      <w:pPr>
        <w:pStyle w:val="Heading1"/>
      </w:pPr>
      <w:r>
        <w:t>Internal Policy Manual — Sample Document for Copilot Workshop</w:t>
      </w:r>
    </w:p>
    <w:p>
      <w:r>
        <w:t>POLICY REF: IHH-POL-2026 | Version 3.1 | Effective Date: 1 January 2026 | Approver: Group CEO</w:t>
      </w:r>
    </w:p>
    <w:p>
      <w:r>
        <w:t>⚠️ SAMPLE DATA — For workshop demonstration purposes only. Not for operational use.</w:t>
      </w:r>
    </w:p>
    <w:p>
      <w:r>
        <w:br w:type="page"/>
      </w:r>
    </w:p>
    <w:p>
      <w:pPr>
        <w:pStyle w:val="Heading1"/>
      </w:pPr>
      <w:r>
        <w:rPr>
          <w:color w:val="003087"/>
        </w:rPr>
        <w:t>SECTION 1: FINANCIAL APPROVAL THRESHOLDS (POL-FIN-001)</w:t>
      </w:r>
    </w:p>
    <w:p>
      <w:r>
        <w:rPr>
          <w:sz w:val="22"/>
        </w:rPr>
        <w:t>This section governs all financial commitments and expenditure approvals across IHH Healthcare group hospitals.</w:t>
      </w:r>
    </w:p>
    <w:p>
      <w:pPr>
        <w:pStyle w:val="Heading2"/>
      </w:pPr>
      <w:r>
        <w:rPr>
          <w:color w:val="0064C8"/>
        </w:rPr>
        <w:t>1.1 Operational Expenditure (OPEX)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Amount (RM)</w:t>
            </w:r>
          </w:p>
        </w:tc>
        <w:tc>
          <w:tcPr>
            <w:tcW w:type="dxa" w:w="2160"/>
          </w:tcPr>
          <w:p>
            <w:r>
              <w:t>Approver Level</w:t>
            </w:r>
          </w:p>
        </w:tc>
        <w:tc>
          <w:tcPr>
            <w:tcW w:type="dxa" w:w="2160"/>
          </w:tcPr>
          <w:p>
            <w:r>
              <w:t>Turnaround</w:t>
            </w:r>
          </w:p>
        </w:tc>
        <w:tc>
          <w:tcPr>
            <w:tcW w:type="dxa" w:w="2160"/>
          </w:tcPr>
          <w:p>
            <w:r>
              <w:t>Escalation</w:t>
            </w:r>
          </w:p>
        </w:tc>
      </w:tr>
      <w:tr>
        <w:tc>
          <w:tcPr>
            <w:tcW w:type="dxa" w:w="2160"/>
          </w:tcPr>
          <w:p>
            <w:r>
              <w:t>Up to RM 10,000</w:t>
            </w:r>
          </w:p>
        </w:tc>
        <w:tc>
          <w:tcPr>
            <w:tcW w:type="dxa" w:w="2160"/>
          </w:tcPr>
          <w:p>
            <w:r>
              <w:t>Department Head</w:t>
            </w:r>
          </w:p>
        </w:tc>
        <w:tc>
          <w:tcPr>
            <w:tcW w:type="dxa" w:w="2160"/>
          </w:tcPr>
          <w:p>
            <w:r>
              <w:t>2 working days</w:t>
            </w:r>
          </w:p>
        </w:tc>
        <w:tc>
          <w:tcPr>
            <w:tcW w:type="dxa" w:w="2160"/>
          </w:tcPr>
          <w:p>
            <w:r>
              <w:t>N/A</w:t>
            </w:r>
          </w:p>
        </w:tc>
      </w:tr>
      <w:tr>
        <w:tc>
          <w:tcPr>
            <w:tcW w:type="dxa" w:w="2160"/>
          </w:tcPr>
          <w:p>
            <w:r>
              <w:t>RM 10,001 – RM 50,000</w:t>
            </w:r>
          </w:p>
        </w:tc>
        <w:tc>
          <w:tcPr>
            <w:tcW w:type="dxa" w:w="2160"/>
          </w:tcPr>
          <w:p>
            <w:r>
              <w:t>Hospital CEO</w:t>
            </w:r>
          </w:p>
        </w:tc>
        <w:tc>
          <w:tcPr>
            <w:tcW w:type="dxa" w:w="2160"/>
          </w:tcPr>
          <w:p>
            <w:r>
              <w:t>3 working days</w:t>
            </w:r>
          </w:p>
        </w:tc>
        <w:tc>
          <w:tcPr>
            <w:tcW w:type="dxa" w:w="2160"/>
          </w:tcPr>
          <w:p>
            <w:r>
              <w:t>CFO notification</w:t>
            </w:r>
          </w:p>
        </w:tc>
      </w:tr>
      <w:tr>
        <w:tc>
          <w:tcPr>
            <w:tcW w:type="dxa" w:w="2160"/>
          </w:tcPr>
          <w:p>
            <w:r>
              <w:t>RM 50,001 – RM 250,000</w:t>
            </w:r>
          </w:p>
        </w:tc>
        <w:tc>
          <w:tcPr>
            <w:tcW w:type="dxa" w:w="2160"/>
          </w:tcPr>
          <w:p>
            <w:r>
              <w:t>Hospital CEO + CFO</w:t>
            </w:r>
          </w:p>
        </w:tc>
        <w:tc>
          <w:tcPr>
            <w:tcW w:type="dxa" w:w="2160"/>
          </w:tcPr>
          <w:p>
            <w:r>
              <w:t>5 working days</w:t>
            </w:r>
          </w:p>
        </w:tc>
        <w:tc>
          <w:tcPr>
            <w:tcW w:type="dxa" w:w="2160"/>
          </w:tcPr>
          <w:p>
            <w:r>
              <w:t>Group Finance review</w:t>
            </w:r>
          </w:p>
        </w:tc>
      </w:tr>
      <w:tr>
        <w:tc>
          <w:tcPr>
            <w:tcW w:type="dxa" w:w="2160"/>
          </w:tcPr>
          <w:p>
            <w:r>
              <w:t>RM 250,001 – RM 500,000</w:t>
            </w:r>
          </w:p>
        </w:tc>
        <w:tc>
          <w:tcPr>
            <w:tcW w:type="dxa" w:w="2160"/>
          </w:tcPr>
          <w:p>
            <w:r>
              <w:t>Group CFO</w:t>
            </w:r>
          </w:p>
        </w:tc>
        <w:tc>
          <w:tcPr>
            <w:tcW w:type="dxa" w:w="2160"/>
          </w:tcPr>
          <w:p>
            <w:r>
              <w:t>7 working days</w:t>
            </w:r>
          </w:p>
        </w:tc>
        <w:tc>
          <w:tcPr>
            <w:tcW w:type="dxa" w:w="2160"/>
          </w:tcPr>
          <w:p>
            <w:r>
              <w:t>Board Finance Committee</w:t>
            </w:r>
          </w:p>
        </w:tc>
      </w:tr>
      <w:tr>
        <w:tc>
          <w:tcPr>
            <w:tcW w:type="dxa" w:w="2160"/>
          </w:tcPr>
          <w:p>
            <w:r>
              <w:t>Above RM 500,000</w:t>
            </w:r>
          </w:p>
        </w:tc>
        <w:tc>
          <w:tcPr>
            <w:tcW w:type="dxa" w:w="2160"/>
          </w:tcPr>
          <w:p>
            <w:r>
              <w:t>Board approval required</w:t>
            </w:r>
          </w:p>
        </w:tc>
        <w:tc>
          <w:tcPr>
            <w:tcW w:type="dxa" w:w="2160"/>
          </w:tcPr>
          <w:p>
            <w:r>
              <w:t>15 working days</w:t>
            </w:r>
          </w:p>
        </w:tc>
        <w:tc>
          <w:tcPr>
            <w:tcW w:type="dxa" w:w="2160"/>
          </w:tcPr>
          <w:p>
            <w:r>
              <w:t>Audit Committee</w:t>
            </w:r>
          </w:p>
        </w:tc>
      </w:tr>
    </w:tbl>
    <w:p>
      <w:pPr>
        <w:pStyle w:val="Heading2"/>
      </w:pPr>
      <w:r>
        <w:rPr>
          <w:color w:val="0064C8"/>
        </w:rPr>
        <w:t>1.2 Capital Expenditure (CAPEX)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Amount (RM)</w:t>
            </w:r>
          </w:p>
        </w:tc>
        <w:tc>
          <w:tcPr>
            <w:tcW w:type="dxa" w:w="2160"/>
          </w:tcPr>
          <w:p>
            <w:r>
              <w:t>Approver Level</w:t>
            </w:r>
          </w:p>
        </w:tc>
        <w:tc>
          <w:tcPr>
            <w:tcW w:type="dxa" w:w="2160"/>
          </w:tcPr>
          <w:p>
            <w:r>
              <w:t>Business Case Required</w:t>
            </w:r>
          </w:p>
        </w:tc>
        <w:tc>
          <w:tcPr>
            <w:tcW w:type="dxa" w:w="2160"/>
          </w:tcPr>
          <w:p>
            <w:r>
              <w:t>Board Approval</w:t>
            </w:r>
          </w:p>
        </w:tc>
      </w:tr>
      <w:tr>
        <w:tc>
          <w:tcPr>
            <w:tcW w:type="dxa" w:w="2160"/>
          </w:tcPr>
          <w:p>
            <w:r>
              <w:t>Up to RM 100,000</w:t>
            </w:r>
          </w:p>
        </w:tc>
        <w:tc>
          <w:tcPr>
            <w:tcW w:type="dxa" w:w="2160"/>
          </w:tcPr>
          <w:p>
            <w:r>
              <w:t>Hospital CEO</w:t>
            </w:r>
          </w:p>
        </w:tc>
        <w:tc>
          <w:tcPr>
            <w:tcW w:type="dxa" w:w="2160"/>
          </w:tcPr>
          <w:p>
            <w:r>
              <w:t>1-page justification</w:t>
            </w:r>
          </w:p>
        </w:tc>
        <w:tc>
          <w:tcPr>
            <w:tcW w:type="dxa" w:w="2160"/>
          </w:tcPr>
          <w:p>
            <w:r>
              <w:t>No</w:t>
            </w:r>
          </w:p>
        </w:tc>
      </w:tr>
      <w:tr>
        <w:tc>
          <w:tcPr>
            <w:tcW w:type="dxa" w:w="2160"/>
          </w:tcPr>
          <w:p>
            <w:r>
              <w:t>RM 100,001 – RM 500,000</w:t>
            </w:r>
          </w:p>
        </w:tc>
        <w:tc>
          <w:tcPr>
            <w:tcW w:type="dxa" w:w="2160"/>
          </w:tcPr>
          <w:p>
            <w:r>
              <w:t>Group CFO</w:t>
            </w:r>
          </w:p>
        </w:tc>
        <w:tc>
          <w:tcPr>
            <w:tcW w:type="dxa" w:w="2160"/>
          </w:tcPr>
          <w:p>
            <w:r>
              <w:t>Full business case</w:t>
            </w:r>
          </w:p>
        </w:tc>
        <w:tc>
          <w:tcPr>
            <w:tcW w:type="dxa" w:w="2160"/>
          </w:tcPr>
          <w:p>
            <w:r>
              <w:t>No</w:t>
            </w:r>
          </w:p>
        </w:tc>
      </w:tr>
      <w:tr>
        <w:tc>
          <w:tcPr>
            <w:tcW w:type="dxa" w:w="2160"/>
          </w:tcPr>
          <w:p>
            <w:r>
              <w:t>RM 500,001 – RM 1,000,000</w:t>
            </w:r>
          </w:p>
        </w:tc>
        <w:tc>
          <w:tcPr>
            <w:tcW w:type="dxa" w:w="2160"/>
          </w:tcPr>
          <w:p>
            <w:r>
              <w:t>Group CFO + CEO</w:t>
            </w:r>
          </w:p>
        </w:tc>
        <w:tc>
          <w:tcPr>
            <w:tcW w:type="dxa" w:w="2160"/>
          </w:tcPr>
          <w:p>
            <w:r>
              <w:t>Full business case + ROI model</w:t>
            </w:r>
          </w:p>
        </w:tc>
        <w:tc>
          <w:tcPr>
            <w:tcW w:type="dxa" w:w="2160"/>
          </w:tcPr>
          <w:p>
            <w:r>
              <w:t>No</w:t>
            </w:r>
          </w:p>
        </w:tc>
      </w:tr>
      <w:tr>
        <w:tc>
          <w:tcPr>
            <w:tcW w:type="dxa" w:w="2160"/>
          </w:tcPr>
          <w:p>
            <w:r>
              <w:t>RM 1,000,001 – RM 5,000,000</w:t>
            </w:r>
          </w:p>
        </w:tc>
        <w:tc>
          <w:tcPr>
            <w:tcW w:type="dxa" w:w="2160"/>
          </w:tcPr>
          <w:p>
            <w:r>
              <w:t>Board Finance Committee</w:t>
            </w:r>
          </w:p>
        </w:tc>
        <w:tc>
          <w:tcPr>
            <w:tcW w:type="dxa" w:w="2160"/>
          </w:tcPr>
          <w:p>
            <w:r>
              <w:t>Full business case + ROI + Risk assessment</w:t>
            </w:r>
          </w:p>
        </w:tc>
        <w:tc>
          <w:tcPr>
            <w:tcW w:type="dxa" w:w="2160"/>
          </w:tcPr>
          <w:p>
            <w:r>
              <w:t>Yes</w:t>
            </w:r>
          </w:p>
        </w:tc>
      </w:tr>
      <w:tr>
        <w:tc>
          <w:tcPr>
            <w:tcW w:type="dxa" w:w="2160"/>
          </w:tcPr>
          <w:p>
            <w:r>
              <w:t>Above RM 5,000,000</w:t>
            </w:r>
          </w:p>
        </w:tc>
        <w:tc>
          <w:tcPr>
            <w:tcW w:type="dxa" w:w="2160"/>
          </w:tcPr>
          <w:p>
            <w:r>
              <w:t>Full Board of Directors</w:t>
            </w:r>
          </w:p>
        </w:tc>
        <w:tc>
          <w:tcPr>
            <w:tcW w:type="dxa" w:w="2160"/>
          </w:tcPr>
          <w:p>
            <w:r>
              <w:t>Comprehensive feasibility study</w:t>
            </w:r>
          </w:p>
        </w:tc>
        <w:tc>
          <w:tcPr>
            <w:tcW w:type="dxa" w:w="2160"/>
          </w:tcPr>
          <w:p>
            <w:r>
              <w:t>Yes — Special Resolution</w:t>
            </w:r>
          </w:p>
        </w:tc>
      </w:tr>
    </w:tbl>
    <w:p/>
    <w:p>
      <w:r>
        <w:rPr>
          <w:sz w:val="22"/>
        </w:rPr>
        <w:t>1.3 Vendor &amp; Procurement: All vendor contracts above RM 500,000 require Group Procurement approval and vendor due diligence. Related party transactions require Audit Committee pre-approval regardless of amount. Sole-sourcing above RM 100,000 requires written justification approved by Group CFO.</w:t>
      </w:r>
    </w:p>
    <w:p>
      <w:r>
        <w:br w:type="page"/>
      </w:r>
    </w:p>
    <w:p>
      <w:pPr>
        <w:pStyle w:val="Heading1"/>
      </w:pPr>
      <w:r>
        <w:rPr>
          <w:color w:val="003087"/>
        </w:rPr>
        <w:t>SECTION 2: OPERATIONAL KPI TARGETS (POL-OPS-002)</w:t>
      </w:r>
    </w:p>
    <w:p>
      <w:r>
        <w:rPr>
          <w:sz w:val="22"/>
        </w:rPr>
        <w:t>The following KPIs apply to all IHH hospitals in Malaysia. Targets are reviewed annually by the Group Operations Committee.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KPI</w:t>
            </w:r>
          </w:p>
        </w:tc>
        <w:tc>
          <w:tcPr>
            <w:tcW w:type="dxa" w:w="1728"/>
          </w:tcPr>
          <w:p>
            <w:r>
              <w:t>Target</w:t>
            </w:r>
          </w:p>
        </w:tc>
        <w:tc>
          <w:tcPr>
            <w:tcW w:type="dxa" w:w="1728"/>
          </w:tcPr>
          <w:p>
            <w:r>
              <w:t>Minimum Threshold</w:t>
            </w:r>
          </w:p>
        </w:tc>
        <w:tc>
          <w:tcPr>
            <w:tcW w:type="dxa" w:w="1728"/>
          </w:tcPr>
          <w:p>
            <w:r>
              <w:t>Measurement Frequency</w:t>
            </w:r>
          </w:p>
        </w:tc>
        <w:tc>
          <w:tcPr>
            <w:tcW w:type="dxa" w:w="1728"/>
          </w:tcPr>
          <w:p>
            <w:r>
              <w:t>Responsible</w:t>
            </w:r>
          </w:p>
        </w:tc>
      </w:tr>
      <w:tr>
        <w:tc>
          <w:tcPr>
            <w:tcW w:type="dxa" w:w="1728"/>
          </w:tcPr>
          <w:p>
            <w:r>
              <w:t>Bed Occupancy Rate</w:t>
            </w:r>
          </w:p>
        </w:tc>
        <w:tc>
          <w:tcPr>
            <w:tcW w:type="dxa" w:w="1728"/>
          </w:tcPr>
          <w:p>
            <w:r>
              <w:t>82–87%</w:t>
            </w:r>
          </w:p>
        </w:tc>
        <w:tc>
          <w:tcPr>
            <w:tcW w:type="dxa" w:w="1728"/>
          </w:tcPr>
          <w:p>
            <w:r>
              <w:t>75%</w:t>
            </w:r>
          </w:p>
        </w:tc>
        <w:tc>
          <w:tcPr>
            <w:tcW w:type="dxa" w:w="1728"/>
          </w:tcPr>
          <w:p>
            <w:r>
              <w:t>Daily</w:t>
            </w:r>
          </w:p>
        </w:tc>
        <w:tc>
          <w:tcPr>
            <w:tcW w:type="dxa" w:w="1728"/>
          </w:tcPr>
          <w:p>
            <w:r>
              <w:t>Hospital CEO</w:t>
            </w:r>
          </w:p>
        </w:tc>
      </w:tr>
      <w:tr>
        <w:tc>
          <w:tcPr>
            <w:tcW w:type="dxa" w:w="1728"/>
          </w:tcPr>
          <w:p>
            <w:r>
              <w:t>Average Length of Stay (ALOS)</w:t>
            </w:r>
          </w:p>
        </w:tc>
        <w:tc>
          <w:tcPr>
            <w:tcW w:type="dxa" w:w="1728"/>
          </w:tcPr>
          <w:p>
            <w:r>
              <w:t>≤ 3.8 days</w:t>
            </w:r>
          </w:p>
        </w:tc>
        <w:tc>
          <w:tcPr>
            <w:tcW w:type="dxa" w:w="1728"/>
          </w:tcPr>
          <w:p>
            <w:r>
              <w:t>4.5 days</w:t>
            </w:r>
          </w:p>
        </w:tc>
        <w:tc>
          <w:tcPr>
            <w:tcW w:type="dxa" w:w="1728"/>
          </w:tcPr>
          <w:p>
            <w:r>
              <w:t>Monthly</w:t>
            </w:r>
          </w:p>
        </w:tc>
        <w:tc>
          <w:tcPr>
            <w:tcW w:type="dxa" w:w="1728"/>
          </w:tcPr>
          <w:p>
            <w:r>
              <w:t>Medical Director</w:t>
            </w:r>
          </w:p>
        </w:tc>
      </w:tr>
      <w:tr>
        <w:tc>
          <w:tcPr>
            <w:tcW w:type="dxa" w:w="1728"/>
          </w:tcPr>
          <w:p>
            <w:r>
              <w:t>Emergency Department Wait Time</w:t>
            </w:r>
          </w:p>
        </w:tc>
        <w:tc>
          <w:tcPr>
            <w:tcW w:type="dxa" w:w="1728"/>
          </w:tcPr>
          <w:p>
            <w:r>
              <w:t>≤ 30 minutes (triage to doctor)</w:t>
            </w:r>
          </w:p>
        </w:tc>
        <w:tc>
          <w:tcPr>
            <w:tcW w:type="dxa" w:w="1728"/>
          </w:tcPr>
          <w:p>
            <w:r>
              <w:t>45 minutes</w:t>
            </w:r>
          </w:p>
        </w:tc>
        <w:tc>
          <w:tcPr>
            <w:tcW w:type="dxa" w:w="1728"/>
          </w:tcPr>
          <w:p>
            <w:r>
              <w:t>Daily</w:t>
            </w:r>
          </w:p>
        </w:tc>
        <w:tc>
          <w:tcPr>
            <w:tcW w:type="dxa" w:w="1728"/>
          </w:tcPr>
          <w:p>
            <w:r>
              <w:t>ED Head</w:t>
            </w:r>
          </w:p>
        </w:tc>
      </w:tr>
      <w:tr>
        <w:tc>
          <w:tcPr>
            <w:tcW w:type="dxa" w:w="1728"/>
          </w:tcPr>
          <w:p>
            <w:r>
              <w:t>Patient Satisfaction Score (NPS)</w:t>
            </w:r>
          </w:p>
        </w:tc>
        <w:tc>
          <w:tcPr>
            <w:tcW w:type="dxa" w:w="1728"/>
          </w:tcPr>
          <w:p>
            <w:r>
              <w:t>≥ 72</w:t>
            </w:r>
          </w:p>
        </w:tc>
        <w:tc>
          <w:tcPr>
            <w:tcW w:type="dxa" w:w="1728"/>
          </w:tcPr>
          <w:p>
            <w:r>
              <w:t>60</w:t>
            </w:r>
          </w:p>
        </w:tc>
        <w:tc>
          <w:tcPr>
            <w:tcW w:type="dxa" w:w="1728"/>
          </w:tcPr>
          <w:p>
            <w:r>
              <w:t>Quarterly</w:t>
            </w:r>
          </w:p>
        </w:tc>
        <w:tc>
          <w:tcPr>
            <w:tcW w:type="dxa" w:w="1728"/>
          </w:tcPr>
          <w:p>
            <w:r>
              <w:t>Quality &amp; Patient Safety</w:t>
            </w:r>
          </w:p>
        </w:tc>
      </w:tr>
      <w:tr>
        <w:tc>
          <w:tcPr>
            <w:tcW w:type="dxa" w:w="1728"/>
          </w:tcPr>
          <w:p>
            <w:r>
              <w:t>Revenue Per Bed Per Day (RM)</w:t>
            </w:r>
          </w:p>
        </w:tc>
        <w:tc>
          <w:tcPr>
            <w:tcW w:type="dxa" w:w="1728"/>
          </w:tcPr>
          <w:p>
            <w:r>
              <w:t>≥ RM 2,800</w:t>
            </w:r>
          </w:p>
        </w:tc>
        <w:tc>
          <w:tcPr>
            <w:tcW w:type="dxa" w:w="1728"/>
          </w:tcPr>
          <w:p>
            <w:r>
              <w:t>RM 2,400</w:t>
            </w:r>
          </w:p>
        </w:tc>
        <w:tc>
          <w:tcPr>
            <w:tcW w:type="dxa" w:w="1728"/>
          </w:tcPr>
          <w:p>
            <w:r>
              <w:t>Monthly</w:t>
            </w:r>
          </w:p>
        </w:tc>
        <w:tc>
          <w:tcPr>
            <w:tcW w:type="dxa" w:w="1728"/>
          </w:tcPr>
          <w:p>
            <w:r>
              <w:t>Finance Controller</w:t>
            </w:r>
          </w:p>
        </w:tc>
      </w:tr>
      <w:tr>
        <w:tc>
          <w:tcPr>
            <w:tcW w:type="dxa" w:w="1728"/>
          </w:tcPr>
          <w:p>
            <w:r>
              <w:t>Clinical Adverse Event Rate</w:t>
            </w:r>
          </w:p>
        </w:tc>
        <w:tc>
          <w:tcPr>
            <w:tcW w:type="dxa" w:w="1728"/>
          </w:tcPr>
          <w:p>
            <w:r>
              <w:t>&lt; 0.5 per 1,000 admissions</w:t>
            </w:r>
          </w:p>
        </w:tc>
        <w:tc>
          <w:tcPr>
            <w:tcW w:type="dxa" w:w="1728"/>
          </w:tcPr>
          <w:p>
            <w:r>
              <w:t>&lt; 1.0</w:t>
            </w:r>
          </w:p>
        </w:tc>
        <w:tc>
          <w:tcPr>
            <w:tcW w:type="dxa" w:w="1728"/>
          </w:tcPr>
          <w:p>
            <w:r>
              <w:t>Monthly</w:t>
            </w:r>
          </w:p>
        </w:tc>
        <w:tc>
          <w:tcPr>
            <w:tcW w:type="dxa" w:w="1728"/>
          </w:tcPr>
          <w:p>
            <w:r>
              <w:t>Clinical Governance</w:t>
            </w:r>
          </w:p>
        </w:tc>
      </w:tr>
      <w:tr>
        <w:tc>
          <w:tcPr>
            <w:tcW w:type="dxa" w:w="1728"/>
          </w:tcPr>
          <w:p>
            <w:r>
              <w:t>Staff Turnover Rate</w:t>
            </w:r>
          </w:p>
        </w:tc>
        <w:tc>
          <w:tcPr>
            <w:tcW w:type="dxa" w:w="1728"/>
          </w:tcPr>
          <w:p>
            <w:r>
              <w:t>&lt; 12% annually</w:t>
            </w:r>
          </w:p>
        </w:tc>
        <w:tc>
          <w:tcPr>
            <w:tcW w:type="dxa" w:w="1728"/>
          </w:tcPr>
          <w:p>
            <w:r>
              <w:t>&lt; 18%</w:t>
            </w:r>
          </w:p>
        </w:tc>
        <w:tc>
          <w:tcPr>
            <w:tcW w:type="dxa" w:w="1728"/>
          </w:tcPr>
          <w:p>
            <w:r>
              <w:t>Quarterly</w:t>
            </w:r>
          </w:p>
        </w:tc>
        <w:tc>
          <w:tcPr>
            <w:tcW w:type="dxa" w:w="1728"/>
          </w:tcPr>
          <w:p>
            <w:r>
              <w:t>HR Director</w:t>
            </w:r>
          </w:p>
        </w:tc>
      </w:tr>
      <w:tr>
        <w:tc>
          <w:tcPr>
            <w:tcW w:type="dxa" w:w="1728"/>
          </w:tcPr>
          <w:p>
            <w:r>
              <w:t>EBITDA Margin</w:t>
            </w:r>
          </w:p>
        </w:tc>
        <w:tc>
          <w:tcPr>
            <w:tcW w:type="dxa" w:w="1728"/>
          </w:tcPr>
          <w:p>
            <w:r>
              <w:t>22–28%</w:t>
            </w:r>
          </w:p>
        </w:tc>
        <w:tc>
          <w:tcPr>
            <w:tcW w:type="dxa" w:w="1728"/>
          </w:tcPr>
          <w:p>
            <w:r>
              <w:t>18%</w:t>
            </w:r>
          </w:p>
        </w:tc>
        <w:tc>
          <w:tcPr>
            <w:tcW w:type="dxa" w:w="1728"/>
          </w:tcPr>
          <w:p>
            <w:r>
              <w:t>Monthly</w:t>
            </w:r>
          </w:p>
        </w:tc>
        <w:tc>
          <w:tcPr>
            <w:tcW w:type="dxa" w:w="1728"/>
          </w:tcPr>
          <w:p>
            <w:r>
              <w:t>Group Finance</w:t>
            </w:r>
          </w:p>
        </w:tc>
      </w:tr>
    </w:tbl>
    <w:p>
      <w:r>
        <w:br w:type="page"/>
      </w:r>
    </w:p>
    <w:p>
      <w:pPr>
        <w:pStyle w:val="Heading1"/>
      </w:pPr>
      <w:r>
        <w:rPr>
          <w:color w:val="003087"/>
        </w:rPr>
        <w:t>SECTION 3: SUSTAINABILITY &amp; ESG COMMITMENTS (POL-ESG-003)</w:t>
      </w:r>
    </w:p>
    <w:p>
      <w:r>
        <w:rPr>
          <w:sz w:val="22"/>
        </w:rPr>
        <w:t>IHH Healthcare is committed to delivering healthcare that is environmentally responsible, socially impactful, and governed with integrity. Our ESG framework aligns with GRI Standards, TCFD recommendations, and Bursa Malaysia's sustainability reporting requirements.</w:t>
      </w:r>
    </w:p>
    <w:p>
      <w:pPr>
        <w:pStyle w:val="Heading2"/>
      </w:pPr>
      <w:r>
        <w:rPr>
          <w:color w:val="0064C8"/>
        </w:rPr>
        <w:t>3.1 Environmental Targets</w:t>
      </w:r>
    </w:p>
    <w:p>
      <w:pPr>
        <w:pStyle w:val="ListBullet"/>
      </w:pPr>
      <w:r>
        <w:t>🌿 Carbon Neutrality: Net Zero across all operations by 2050; 30% absolute emissions reduction by 2030 (vs 2022 baseline)</w:t>
      </w:r>
    </w:p>
    <w:p>
      <w:pPr>
        <w:pStyle w:val="ListBullet"/>
      </w:pPr>
      <w:r>
        <w:t>⚡ Renewable Energy: 30% renewable energy across all hospitals by 2030; 100% by 2050</w:t>
      </w:r>
    </w:p>
    <w:p>
      <w:pPr>
        <w:pStyle w:val="ListBullet"/>
      </w:pPr>
      <w:r>
        <w:t>♻️ Waste Reduction: 60% clinical waste reduction by 2028; Zero single-use plastics by 2027</w:t>
      </w:r>
    </w:p>
    <w:p>
      <w:pPr>
        <w:pStyle w:val="ListBullet"/>
      </w:pPr>
      <w:r>
        <w:t>💧 Water Efficiency: 25% water usage reduction per bed-day by 2028</w:t>
      </w:r>
    </w:p>
    <w:p>
      <w:pPr>
        <w:pStyle w:val="ListBullet"/>
      </w:pPr>
      <w:r>
        <w:t>🏗️ Green Buildings: All new facilities to achieve Green Mark Gold or equivalent by 2026</w:t>
      </w:r>
    </w:p>
    <w:p>
      <w:pPr>
        <w:pStyle w:val="Heading2"/>
      </w:pPr>
      <w:r>
        <w:rPr>
          <w:color w:val="0064C8"/>
        </w:rPr>
        <w:t>3.2 Reporting Requirements</w:t>
      </w:r>
    </w:p>
    <w:p>
      <w:r>
        <w:rPr>
          <w:sz w:val="22"/>
        </w:rPr>
        <w:t>Annual Sustainability Report due: 31 March each year. Quarterly ESG data submission to Group Sustainability by 15th of following month. Scope 1, 2, and 3 emissions tracking mandatory from FY2026 onwards. External assurance required for Scope 1 and 2 data annually.</w:t>
      </w:r>
    </w:p>
    <w:p>
      <w:r>
        <w:br w:type="page"/>
      </w:r>
    </w:p>
    <w:p>
      <w:pPr>
        <w:pStyle w:val="Heading1"/>
      </w:pPr>
      <w:r>
        <w:rPr>
          <w:color w:val="003087"/>
        </w:rPr>
        <w:t>SECTION 4: COMMUNICATIONS GUIDELINES (POL-COMMS-004)</w:t>
      </w:r>
    </w:p>
    <w:p>
      <w:pPr>
        <w:pStyle w:val="Heading2"/>
      </w:pPr>
      <w:r>
        <w:rPr>
          <w:color w:val="0064C8"/>
        </w:rPr>
        <w:t>4.1 External Communications Approval</w:t>
      </w:r>
    </w:p>
    <w:p>
      <w:r>
        <w:rPr>
          <w:sz w:val="22"/>
        </w:rPr>
        <w:t>All media statements, press releases, investor communications, and social media posts must be approved by Corporate Communications before publication. For urgent matters (&lt; 4 hours), CEO approval may substitute. Crisis communications require Group CEO and Legal pre-approval.</w:t>
      </w:r>
    </w:p>
    <w:p>
      <w:pPr>
        <w:pStyle w:val="Heading2"/>
      </w:pPr>
      <w:r>
        <w:rPr>
          <w:color w:val="0064C8"/>
        </w:rPr>
        <w:t>4.2 Brand Voice</w:t>
      </w:r>
    </w:p>
    <w:p>
      <w:r>
        <w:rPr>
          <w:sz w:val="22"/>
        </w:rPr>
        <w:t>IHH's brand voice is: Professional yet empathetic. Expert but accessible. Innovative and forward-thinking. All external communications must reflect these principles. The brand tagline 'Making Life Better' must appear in all major campaigns. Competitors must not be named in external communications.</w:t>
      </w:r>
    </w:p>
    <w:p>
      <w:pPr>
        <w:pStyle w:val="Heading2"/>
      </w:pPr>
      <w:r>
        <w:rPr>
          <w:color w:val="0064C8"/>
        </w:rPr>
        <w:t>4.3 Digital &amp; Social Media</w:t>
      </w:r>
    </w:p>
    <w:p>
      <w:r>
        <w:rPr>
          <w:sz w:val="22"/>
        </w:rPr>
        <w:t>Hospital social media accounts must post minimum 3x/week. All clinical claims require Medical Director sign-off. Patient testimonials require signed consent form (Form COMMS-T01). Response time for public comments: within 4 hours on weekdays.</w:t>
      </w:r>
    </w:p>
    <w:p>
      <w:r>
        <w:br w:type="page"/>
      </w:r>
    </w:p>
    <w:p>
      <w:pPr>
        <w:pStyle w:val="Heading1"/>
      </w:pPr>
      <w:r>
        <w:rPr>
          <w:color w:val="003087"/>
        </w:rPr>
        <w:t>SECTION 5: PERFORMANCE REVIEW PROCESS (POL-HR-005)</w:t>
      </w:r>
    </w:p>
    <w:p>
      <w:pPr>
        <w:pStyle w:val="Heading2"/>
      </w:pPr>
      <w:r>
        <w:rPr>
          <w:color w:val="0064C8"/>
        </w:rPr>
        <w:t>5.1 Review Cycle</w:t>
      </w:r>
    </w:p>
    <w:p>
      <w:r>
        <w:rPr>
          <w:sz w:val="22"/>
        </w:rPr>
        <w:t>IHH conducts a bi-annual performance review cycle: Mid-Year Review (July) and Year-End Review (January). All full-time employees Grade 3 and above participate. Contract and part-time employees follow a simplified annual review.</w:t>
      </w:r>
    </w:p>
    <w:p>
      <w:pPr>
        <w:pStyle w:val="Heading2"/>
      </w:pPr>
      <w:r>
        <w:rPr>
          <w:color w:val="0064C8"/>
        </w:rPr>
        <w:t>5.2 Rating Scale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Rating</w:t>
            </w:r>
          </w:p>
        </w:tc>
        <w:tc>
          <w:tcPr>
            <w:tcW w:type="dxa" w:w="2160"/>
          </w:tcPr>
          <w:p>
            <w:r>
              <w:t>Label</w:t>
            </w:r>
          </w:p>
        </w:tc>
        <w:tc>
          <w:tcPr>
            <w:tcW w:type="dxa" w:w="2160"/>
          </w:tcPr>
          <w:p>
            <w:r>
              <w:t>Description</w:t>
            </w:r>
          </w:p>
        </w:tc>
        <w:tc>
          <w:tcPr>
            <w:tcW w:type="dxa" w:w="2160"/>
          </w:tcPr>
          <w:p>
            <w:r>
              <w:t>Increment Eligibility</w:t>
            </w:r>
          </w:p>
        </w:tc>
      </w:tr>
      <w:tr>
        <w:tc>
          <w:tcPr>
            <w:tcW w:type="dxa" w:w="2160"/>
          </w:tcPr>
          <w:p>
            <w:r>
              <w:t>5</w:t>
            </w:r>
          </w:p>
        </w:tc>
        <w:tc>
          <w:tcPr>
            <w:tcW w:type="dxa" w:w="2160"/>
          </w:tcPr>
          <w:p>
            <w:r>
              <w:t>Exceptional</w:t>
            </w:r>
          </w:p>
        </w:tc>
        <w:tc>
          <w:tcPr>
            <w:tcW w:type="dxa" w:w="2160"/>
          </w:tcPr>
          <w:p>
            <w:r>
              <w:t>Significantly exceeded all objectives; role model performance</w:t>
            </w:r>
          </w:p>
        </w:tc>
        <w:tc>
          <w:tcPr>
            <w:tcW w:type="dxa" w:w="2160"/>
          </w:tcPr>
          <w:p>
            <w:r>
              <w:t>Up to 15% merit increment</w:t>
            </w:r>
          </w:p>
        </w:tc>
      </w:tr>
      <w:tr>
        <w:tc>
          <w:tcPr>
            <w:tcW w:type="dxa" w:w="2160"/>
          </w:tcPr>
          <w:p>
            <w:r>
              <w:t>4</w:t>
            </w:r>
          </w:p>
        </w:tc>
        <w:tc>
          <w:tcPr>
            <w:tcW w:type="dxa" w:w="2160"/>
          </w:tcPr>
          <w:p>
            <w:r>
              <w:t>Exceeds Expectations</w:t>
            </w:r>
          </w:p>
        </w:tc>
        <w:tc>
          <w:tcPr>
            <w:tcW w:type="dxa" w:w="2160"/>
          </w:tcPr>
          <w:p>
            <w:r>
              <w:t>Exceeded most objectives; strong contributor</w:t>
            </w:r>
          </w:p>
        </w:tc>
        <w:tc>
          <w:tcPr>
            <w:tcW w:type="dxa" w:w="2160"/>
          </w:tcPr>
          <w:p>
            <w:r>
              <w:t>8–12% merit increment</w:t>
            </w:r>
          </w:p>
        </w:tc>
      </w:tr>
      <w:tr>
        <w:tc>
          <w:tcPr>
            <w:tcW w:type="dxa" w:w="2160"/>
          </w:tcPr>
          <w:p>
            <w:r>
              <w:t>3</w:t>
            </w:r>
          </w:p>
        </w:tc>
        <w:tc>
          <w:tcPr>
            <w:tcW w:type="dxa" w:w="2160"/>
          </w:tcPr>
          <w:p>
            <w:r>
              <w:t>Meets Expectations</w:t>
            </w:r>
          </w:p>
        </w:tc>
        <w:tc>
          <w:tcPr>
            <w:tcW w:type="dxa" w:w="2160"/>
          </w:tcPr>
          <w:p>
            <w:r>
              <w:t>Achieved all core objectives satisfactorily</w:t>
            </w:r>
          </w:p>
        </w:tc>
        <w:tc>
          <w:tcPr>
            <w:tcW w:type="dxa" w:w="2160"/>
          </w:tcPr>
          <w:p>
            <w:r>
              <w:t>4–6% merit increment</w:t>
            </w:r>
          </w:p>
        </w:tc>
      </w:tr>
      <w:tr>
        <w:tc>
          <w:tcPr>
            <w:tcW w:type="dxa" w:w="2160"/>
          </w:tcPr>
          <w:p>
            <w:r>
              <w:t>2</w:t>
            </w:r>
          </w:p>
        </w:tc>
        <w:tc>
          <w:tcPr>
            <w:tcW w:type="dxa" w:w="2160"/>
          </w:tcPr>
          <w:p>
            <w:r>
              <w:t>Partially Meets</w:t>
            </w:r>
          </w:p>
        </w:tc>
        <w:tc>
          <w:tcPr>
            <w:tcW w:type="dxa" w:w="2160"/>
          </w:tcPr>
          <w:p>
            <w:r>
              <w:t>Some objectives met; improvement plan required</w:t>
            </w:r>
          </w:p>
        </w:tc>
        <w:tc>
          <w:tcPr>
            <w:tcW w:type="dxa" w:w="2160"/>
          </w:tcPr>
          <w:p>
            <w:r>
              <w:t>0–2% increment + PIP</w:t>
            </w:r>
          </w:p>
        </w:tc>
      </w:tr>
      <w:tr>
        <w:tc>
          <w:tcPr>
            <w:tcW w:type="dxa" w:w="2160"/>
          </w:tcPr>
          <w:p>
            <w:r>
              <w:t>1</w:t>
            </w:r>
          </w:p>
        </w:tc>
        <w:tc>
          <w:tcPr>
            <w:tcW w:type="dxa" w:w="2160"/>
          </w:tcPr>
          <w:p>
            <w:r>
              <w:t>Does Not Meet</w:t>
            </w:r>
          </w:p>
        </w:tc>
        <w:tc>
          <w:tcPr>
            <w:tcW w:type="dxa" w:w="2160"/>
          </w:tcPr>
          <w:p>
            <w:r>
              <w:t>Significant performance gaps; formal action required</w:t>
            </w:r>
          </w:p>
        </w:tc>
        <w:tc>
          <w:tcPr>
            <w:tcW w:type="dxa" w:w="2160"/>
          </w:tcPr>
          <w:p>
            <w:r>
              <w:t>No increment; disciplinary review</w:t>
            </w:r>
          </w:p>
        </w:tc>
      </w:tr>
    </w:tbl>
    <w:p>
      <w:r>
        <w:rPr>
          <w:sz w:val="22"/>
        </w:rPr>
        <w:br/>
        <w:t>5.3 Calibration: All ratings are calibrated at Hospital Leadership level before finalisation. Ratings of 5 must not exceed 10% of any department. Ratings of 1 or 2 must be accompanied by documented evidence and HR co-sign.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