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CONTOSO HEALTHCARE</w:t>
      </w:r>
    </w:p>
    <w:p>
      <w:pPr>
        <w:pStyle w:val="Heading1"/>
        <w:jc w:val="center"/>
      </w:pPr>
      <w:r>
        <w:t>Brand Identity &amp; Communications Guidelines</w:t>
      </w:r>
    </w:p>
    <w:p>
      <w:pPr>
        <w:jc w:val="center"/>
      </w:pPr>
      <w:r>
        <w:t>Version 3.1 | Updated: January 2026 | Owner: Group Corporate Communications | Valid across all 11 markets</w:t>
      </w:r>
    </w:p>
    <w:p>
      <w:pPr>
        <w:jc w:val="center"/>
      </w:pPr>
      <w:r>
        <w:t>⚠️ SAMPLE DATA — For workshop demonstration only.</w:t>
      </w:r>
    </w:p>
    <w:p>
      <w:r>
        <w:br w:type="page"/>
      </w:r>
    </w:p>
    <w:p>
      <w:pPr>
        <w:pStyle w:val="Heading1"/>
      </w:pPr>
      <w:r>
        <w:rPr>
          <w:color w:val="007B8A"/>
        </w:rPr>
        <w:t>SECTION 1: BRAND IDENTITY &amp; LOGO</w:t>
      </w:r>
    </w:p>
    <w:p>
      <w:pPr>
        <w:pStyle w:val="Heading2"/>
      </w:pPr>
      <w:r>
        <w:rPr>
          <w:color w:val="003050"/>
        </w:rPr>
        <w:t>1.1 Brand Promise</w:t>
      </w:r>
    </w:p>
    <w:p>
      <w:r>
        <w:rPr>
          <w:sz w:val="22"/>
        </w:rPr>
        <w:t>Contoso Healthcare's brand promise is 'Caring for Life' — reflecting our commitment to compassionate, expert healthcare that makes life better for patients, families, and communities across 11 countries. Every communication, visual, and interaction should reinforce this promise.</w:t>
      </w:r>
    </w:p>
    <w:p>
      <w:pPr>
        <w:pStyle w:val="Heading2"/>
      </w:pPr>
      <w:r>
        <w:rPr>
          <w:color w:val="003050"/>
        </w:rPr>
        <w:t>1.2 Logo Versions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Version</w:t>
            </w:r>
          </w:p>
        </w:tc>
        <w:tc>
          <w:tcPr>
            <w:tcW w:type="dxa" w:w="1728"/>
          </w:tcPr>
          <w:p>
            <w:r>
              <w:rPr>
                <w:b/>
              </w:rPr>
              <w:t>Background</w:t>
            </w:r>
          </w:p>
        </w:tc>
        <w:tc>
          <w:tcPr>
            <w:tcW w:type="dxa" w:w="1728"/>
          </w:tcPr>
          <w:p>
            <w:r>
              <w:rPr>
                <w:b/>
              </w:rPr>
              <w:t>Use Case</w:t>
            </w:r>
          </w:p>
        </w:tc>
        <w:tc>
          <w:tcPr>
            <w:tcW w:type="dxa" w:w="1728"/>
          </w:tcPr>
          <w:p>
            <w:r>
              <w:rPr>
                <w:b/>
              </w:rPr>
              <w:t>Minimum Size (Print)</w:t>
            </w:r>
          </w:p>
        </w:tc>
        <w:tc>
          <w:tcPr>
            <w:tcW w:type="dxa" w:w="1728"/>
          </w:tcPr>
          <w:p>
            <w:r>
              <w:rPr>
                <w:b/>
              </w:rPr>
              <w:t>Minimum Size (Digital)</w:t>
            </w:r>
          </w:p>
        </w:tc>
      </w:tr>
      <w:tr>
        <w:tc>
          <w:tcPr>
            <w:tcW w:type="dxa" w:w="1728"/>
          </w:tcPr>
          <w:p>
            <w:r>
              <w:t>Full Colour (Primary)</w:t>
            </w:r>
          </w:p>
        </w:tc>
        <w:tc>
          <w:tcPr>
            <w:tcW w:type="dxa" w:w="1728"/>
          </w:tcPr>
          <w:p>
            <w:r>
              <w:t>White or light backgrounds</w:t>
            </w:r>
          </w:p>
        </w:tc>
        <w:tc>
          <w:tcPr>
            <w:tcW w:type="dxa" w:w="1728"/>
          </w:tcPr>
          <w:p>
            <w:r>
              <w:t>All standard applications</w:t>
            </w:r>
          </w:p>
        </w:tc>
        <w:tc>
          <w:tcPr>
            <w:tcW w:type="dxa" w:w="1728"/>
          </w:tcPr>
          <w:p>
            <w:r>
              <w:t>25mm wide</w:t>
            </w:r>
          </w:p>
        </w:tc>
        <w:tc>
          <w:tcPr>
            <w:tcW w:type="dxa" w:w="1728"/>
          </w:tcPr>
          <w:p>
            <w:r>
              <w:t>100px wide</w:t>
            </w:r>
          </w:p>
        </w:tc>
      </w:tr>
      <w:tr>
        <w:tc>
          <w:tcPr>
            <w:tcW w:type="dxa" w:w="1728"/>
          </w:tcPr>
          <w:p>
            <w:r>
              <w:t>Reversed White</w:t>
            </w:r>
          </w:p>
        </w:tc>
        <w:tc>
          <w:tcPr>
            <w:tcW w:type="dxa" w:w="1728"/>
          </w:tcPr>
          <w:p>
            <w:r>
              <w:t>Contoso Teal (#007B8A) background</w:t>
            </w:r>
          </w:p>
        </w:tc>
        <w:tc>
          <w:tcPr>
            <w:tcW w:type="dxa" w:w="1728"/>
          </w:tcPr>
          <w:p>
            <w:r>
              <w:t>Hero images, brand campaigns</w:t>
            </w:r>
          </w:p>
        </w:tc>
        <w:tc>
          <w:tcPr>
            <w:tcW w:type="dxa" w:w="1728"/>
          </w:tcPr>
          <w:p>
            <w:r>
              <w:t>25mm wide</w:t>
            </w:r>
          </w:p>
        </w:tc>
        <w:tc>
          <w:tcPr>
            <w:tcW w:type="dxa" w:w="1728"/>
          </w:tcPr>
          <w:p>
            <w:r>
              <w:t>100px wide</w:t>
            </w:r>
          </w:p>
        </w:tc>
      </w:tr>
      <w:tr>
        <w:tc>
          <w:tcPr>
            <w:tcW w:type="dxa" w:w="1728"/>
          </w:tcPr>
          <w:p>
            <w:r>
              <w:t>Monochrome Black</w:t>
            </w:r>
          </w:p>
        </w:tc>
        <w:tc>
          <w:tcPr>
            <w:tcW w:type="dxa" w:w="1728"/>
          </w:tcPr>
          <w:p>
            <w:r>
              <w:t>White or very light grey</w:t>
            </w:r>
          </w:p>
        </w:tc>
        <w:tc>
          <w:tcPr>
            <w:tcW w:type="dxa" w:w="1728"/>
          </w:tcPr>
          <w:p>
            <w:r>
              <w:t>Black-and-white print</w:t>
            </w:r>
          </w:p>
        </w:tc>
        <w:tc>
          <w:tcPr>
            <w:tcW w:type="dxa" w:w="1728"/>
          </w:tcPr>
          <w:p>
            <w:r>
              <w:t>20mm wide</w:t>
            </w:r>
          </w:p>
        </w:tc>
        <w:tc>
          <w:tcPr>
            <w:tcW w:type="dxa" w:w="1728"/>
          </w:tcPr>
          <w:p>
            <w:r>
              <w:t>80px wide</w:t>
            </w:r>
          </w:p>
        </w:tc>
      </w:tr>
      <w:tr>
        <w:tc>
          <w:tcPr>
            <w:tcW w:type="dxa" w:w="1728"/>
          </w:tcPr>
          <w:p>
            <w:r>
              <w:t>Monochrome White</w:t>
            </w:r>
          </w:p>
        </w:tc>
        <w:tc>
          <w:tcPr>
            <w:tcW w:type="dxa" w:w="1728"/>
          </w:tcPr>
          <w:p>
            <w:r>
              <w:t>Dark backgrounds</w:t>
            </w:r>
          </w:p>
        </w:tc>
        <w:tc>
          <w:tcPr>
            <w:tcW w:type="dxa" w:w="1728"/>
          </w:tcPr>
          <w:p>
            <w:r>
              <w:t>Dark mode digital, embossing</w:t>
            </w:r>
          </w:p>
        </w:tc>
        <w:tc>
          <w:tcPr>
            <w:tcW w:type="dxa" w:w="1728"/>
          </w:tcPr>
          <w:p>
            <w:r>
              <w:t>20mm wide</w:t>
            </w:r>
          </w:p>
        </w:tc>
        <w:tc>
          <w:tcPr>
            <w:tcW w:type="dxa" w:w="1728"/>
          </w:tcPr>
          <w:p>
            <w:r>
              <w:t>80px wide</w:t>
            </w:r>
          </w:p>
        </w:tc>
      </w:tr>
      <w:tr>
        <w:tc>
          <w:tcPr>
            <w:tcW w:type="dxa" w:w="1728"/>
          </w:tcPr>
          <w:p>
            <w:r>
              <w:t>Brandmark only (no wordmark)</w:t>
            </w:r>
          </w:p>
        </w:tc>
        <w:tc>
          <w:tcPr>
            <w:tcW w:type="dxa" w:w="1728"/>
          </w:tcPr>
          <w:p>
            <w:r>
              <w:t>Any — with wordmark nearby</w:t>
            </w:r>
          </w:p>
        </w:tc>
        <w:tc>
          <w:tcPr>
            <w:tcW w:type="dxa" w:w="1728"/>
          </w:tcPr>
          <w:p>
            <w:r>
              <w:t>Social media profile images, app icon</w:t>
            </w:r>
          </w:p>
        </w:tc>
        <w:tc>
          <w:tcPr>
            <w:tcW w:type="dxa" w:w="1728"/>
          </w:tcPr>
          <w:p>
            <w:r>
              <w:t>15mm wide</w:t>
            </w:r>
          </w:p>
        </w:tc>
        <w:tc>
          <w:tcPr>
            <w:tcW w:type="dxa" w:w="1728"/>
          </w:tcPr>
          <w:p>
            <w:r>
              <w:t>60px wide</w:t>
            </w:r>
          </w:p>
        </w:tc>
      </w:tr>
    </w:tbl>
    <w:p>
      <w:pPr>
        <w:pStyle w:val="Heading2"/>
      </w:pPr>
      <w:r>
        <w:rPr>
          <w:color w:val="003050"/>
        </w:rPr>
        <w:t>1.3 Clear Space &amp; Don'ts</w:t>
      </w:r>
    </w:p>
    <w:p>
      <w:r>
        <w:rPr>
          <w:sz w:val="22"/>
        </w:rPr>
        <w:t>Clear space: minimum equal to the height of the 'C' in 'Contoso' on all sides. Never: distort, rotate, recolour, add effects (shadows/gradients), recreate in PowerPoint, combine with other logos without Group Comms approval, use on busy photographic backgrounds without container.</w:t>
      </w:r>
    </w:p>
    <w:p>
      <w:r>
        <w:br w:type="page"/>
      </w:r>
    </w:p>
    <w:p>
      <w:pPr>
        <w:pStyle w:val="Heading1"/>
      </w:pPr>
      <w:r>
        <w:rPr>
          <w:color w:val="007B8A"/>
        </w:rPr>
        <w:t>SECTION 2: COLOUR PALETTE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Colour Name</w:t>
            </w:r>
          </w:p>
        </w:tc>
        <w:tc>
          <w:tcPr>
            <w:tcW w:type="dxa" w:w="1234"/>
          </w:tcPr>
          <w:p>
            <w:r>
              <w:rPr>
                <w:b/>
              </w:rPr>
              <w:t>Role</w:t>
            </w:r>
          </w:p>
        </w:tc>
        <w:tc>
          <w:tcPr>
            <w:tcW w:type="dxa" w:w="1234"/>
          </w:tcPr>
          <w:p>
            <w:r>
              <w:rPr>
                <w:b/>
              </w:rPr>
              <w:t>HEX</w:t>
            </w:r>
          </w:p>
        </w:tc>
        <w:tc>
          <w:tcPr>
            <w:tcW w:type="dxa" w:w="1234"/>
          </w:tcPr>
          <w:p>
            <w:r>
              <w:rPr>
                <w:b/>
              </w:rPr>
              <w:t>RGB</w:t>
            </w:r>
          </w:p>
        </w:tc>
        <w:tc>
          <w:tcPr>
            <w:tcW w:type="dxa" w:w="1234"/>
          </w:tcPr>
          <w:p>
            <w:r>
              <w:rPr>
                <w:b/>
              </w:rPr>
              <w:t>CMYK</w:t>
            </w:r>
          </w:p>
        </w:tc>
        <w:tc>
          <w:tcPr>
            <w:tcW w:type="dxa" w:w="1234"/>
          </w:tcPr>
          <w:p>
            <w:r>
              <w:rPr>
                <w:b/>
              </w:rPr>
              <w:t>Pantone</w:t>
            </w:r>
          </w:p>
        </w:tc>
        <w:tc>
          <w:tcPr>
            <w:tcW w:type="dxa" w:w="1234"/>
          </w:tcPr>
          <w:p>
            <w:r>
              <w:rPr>
                <w:b/>
              </w:rPr>
              <w:t>Use</w:t>
            </w:r>
          </w:p>
        </w:tc>
      </w:tr>
      <w:tr>
        <w:tc>
          <w:tcPr>
            <w:tcW w:type="dxa" w:w="1234"/>
          </w:tcPr>
          <w:p>
            <w:r>
              <w:t>Contoso Teal</w:t>
            </w:r>
          </w:p>
        </w:tc>
        <w:tc>
          <w:tcPr>
            <w:tcW w:type="dxa" w:w="1234"/>
          </w:tcPr>
          <w:p>
            <w:r>
              <w:t>Primary</w:t>
            </w:r>
          </w:p>
        </w:tc>
        <w:tc>
          <w:tcPr>
            <w:tcW w:type="dxa" w:w="1234"/>
          </w:tcPr>
          <w:p>
            <w:r>
              <w:t>#007B8A</w:t>
            </w:r>
          </w:p>
        </w:tc>
        <w:tc>
          <w:tcPr>
            <w:tcW w:type="dxa" w:w="1234"/>
          </w:tcPr>
          <w:p>
            <w:r>
              <w:t>0, 123, 138</w:t>
            </w:r>
          </w:p>
        </w:tc>
        <w:tc>
          <w:tcPr>
            <w:tcW w:type="dxa" w:w="1234"/>
          </w:tcPr>
          <w:p>
            <w:r>
              <w:t>85, 20, 25, 0</w:t>
            </w:r>
          </w:p>
        </w:tc>
        <w:tc>
          <w:tcPr>
            <w:tcW w:type="dxa" w:w="1234"/>
          </w:tcPr>
          <w:p>
            <w:r>
              <w:t>Pantone 7710 C</w:t>
            </w:r>
          </w:p>
        </w:tc>
        <w:tc>
          <w:tcPr>
            <w:tcW w:type="dxa" w:w="1234"/>
          </w:tcPr>
          <w:p>
            <w:r>
              <w:t>Logo, headings, primary CTAs, key UI elements</w:t>
            </w:r>
          </w:p>
        </w:tc>
      </w:tr>
      <w:tr>
        <w:tc>
          <w:tcPr>
            <w:tcW w:type="dxa" w:w="1234"/>
          </w:tcPr>
          <w:p>
            <w:r>
              <w:t>Contoso Navy</w:t>
            </w:r>
          </w:p>
        </w:tc>
        <w:tc>
          <w:tcPr>
            <w:tcW w:type="dxa" w:w="1234"/>
          </w:tcPr>
          <w:p>
            <w:r>
              <w:t>Secondary</w:t>
            </w:r>
          </w:p>
        </w:tc>
        <w:tc>
          <w:tcPr>
            <w:tcW w:type="dxa" w:w="1234"/>
          </w:tcPr>
          <w:p>
            <w:r>
              <w:t>#003050</w:t>
            </w:r>
          </w:p>
        </w:tc>
        <w:tc>
          <w:tcPr>
            <w:tcW w:type="dxa" w:w="1234"/>
          </w:tcPr>
          <w:p>
            <w:r>
              <w:t>0, 48, 80</w:t>
            </w:r>
          </w:p>
        </w:tc>
        <w:tc>
          <w:tcPr>
            <w:tcW w:type="dxa" w:w="1234"/>
          </w:tcPr>
          <w:p>
            <w:r>
              <w:t>100, 65, 20, 50</w:t>
            </w:r>
          </w:p>
        </w:tc>
        <w:tc>
          <w:tcPr>
            <w:tcW w:type="dxa" w:w="1234"/>
          </w:tcPr>
          <w:p>
            <w:r>
              <w:t>Pantone 655 C</w:t>
            </w:r>
          </w:p>
        </w:tc>
        <w:tc>
          <w:tcPr>
            <w:tcW w:type="dxa" w:w="1234"/>
          </w:tcPr>
          <w:p>
            <w:r>
              <w:t>Subheadings, dark backgrounds, footer</w:t>
            </w:r>
          </w:p>
        </w:tc>
      </w:tr>
      <w:tr>
        <w:tc>
          <w:tcPr>
            <w:tcW w:type="dxa" w:w="1234"/>
          </w:tcPr>
          <w:p>
            <w:r>
              <w:t>Teal Light</w:t>
            </w:r>
          </w:p>
        </w:tc>
        <w:tc>
          <w:tcPr>
            <w:tcW w:type="dxa" w:w="1234"/>
          </w:tcPr>
          <w:p>
            <w:r>
              <w:t>Tertiary</w:t>
            </w:r>
          </w:p>
        </w:tc>
        <w:tc>
          <w:tcPr>
            <w:tcW w:type="dxa" w:w="1234"/>
          </w:tcPr>
          <w:p>
            <w:r>
              <w:t>#E0F4F6</w:t>
            </w:r>
          </w:p>
        </w:tc>
        <w:tc>
          <w:tcPr>
            <w:tcW w:type="dxa" w:w="1234"/>
          </w:tcPr>
          <w:p>
            <w:r>
              <w:t>224, 244, 246</w:t>
            </w:r>
          </w:p>
        </w:tc>
        <w:tc>
          <w:tcPr>
            <w:tcW w:type="dxa" w:w="1234"/>
          </w:tcPr>
          <w:p>
            <w:r>
              <w:t>10, 0, 2, 0</w:t>
            </w:r>
          </w:p>
        </w:tc>
        <w:tc>
          <w:tcPr>
            <w:tcW w:type="dxa" w:w="1234"/>
          </w:tcPr>
          <w:p>
            <w:r>
              <w:t>—</w:t>
            </w:r>
          </w:p>
        </w:tc>
        <w:tc>
          <w:tcPr>
            <w:tcW w:type="dxa" w:w="1234"/>
          </w:tcPr>
          <w:p>
            <w:r>
              <w:t>Backgrounds, card fills, infographic base</w:t>
            </w:r>
          </w:p>
        </w:tc>
      </w:tr>
      <w:tr>
        <w:tc>
          <w:tcPr>
            <w:tcW w:type="dxa" w:w="1234"/>
          </w:tcPr>
          <w:p>
            <w:r>
              <w:t>Warm White</w:t>
            </w:r>
          </w:p>
        </w:tc>
        <w:tc>
          <w:tcPr>
            <w:tcW w:type="dxa" w:w="1234"/>
          </w:tcPr>
          <w:p>
            <w:r>
              <w:t>Neutral</w:t>
            </w:r>
          </w:p>
        </w:tc>
        <w:tc>
          <w:tcPr>
            <w:tcW w:type="dxa" w:w="1234"/>
          </w:tcPr>
          <w:p>
            <w:r>
              <w:t>#F8F9FA</w:t>
            </w:r>
          </w:p>
        </w:tc>
        <w:tc>
          <w:tcPr>
            <w:tcW w:type="dxa" w:w="1234"/>
          </w:tcPr>
          <w:p>
            <w:r>
              <w:t>248, 249, 250</w:t>
            </w:r>
          </w:p>
        </w:tc>
        <w:tc>
          <w:tcPr>
            <w:tcW w:type="dxa" w:w="1234"/>
          </w:tcPr>
          <w:p>
            <w:r>
              <w:t>0, 0, 0, 2</w:t>
            </w:r>
          </w:p>
        </w:tc>
        <w:tc>
          <w:tcPr>
            <w:tcW w:type="dxa" w:w="1234"/>
          </w:tcPr>
          <w:p>
            <w:r>
              <w:t>—</w:t>
            </w:r>
          </w:p>
        </w:tc>
        <w:tc>
          <w:tcPr>
            <w:tcW w:type="dxa" w:w="1234"/>
          </w:tcPr>
          <w:p>
            <w:r>
              <w:t>Page backgrounds, content areas</w:t>
            </w:r>
          </w:p>
        </w:tc>
      </w:tr>
      <w:tr>
        <w:tc>
          <w:tcPr>
            <w:tcW w:type="dxa" w:w="1234"/>
          </w:tcPr>
          <w:p>
            <w:r>
              <w:t>Charcoal</w:t>
            </w:r>
          </w:p>
        </w:tc>
        <w:tc>
          <w:tcPr>
            <w:tcW w:type="dxa" w:w="1234"/>
          </w:tcPr>
          <w:p>
            <w:r>
              <w:t>Neutral Dark</w:t>
            </w:r>
          </w:p>
        </w:tc>
        <w:tc>
          <w:tcPr>
            <w:tcW w:type="dxa" w:w="1234"/>
          </w:tcPr>
          <w:p>
            <w:r>
              <w:t>#2D3748</w:t>
            </w:r>
          </w:p>
        </w:tc>
        <w:tc>
          <w:tcPr>
            <w:tcW w:type="dxa" w:w="1234"/>
          </w:tcPr>
          <w:p>
            <w:r>
              <w:t>45, 55, 72</w:t>
            </w:r>
          </w:p>
        </w:tc>
        <w:tc>
          <w:tcPr>
            <w:tcW w:type="dxa" w:w="1234"/>
          </w:tcPr>
          <w:p>
            <w:r>
              <w:t>0, 0, 0, 72</w:t>
            </w:r>
          </w:p>
        </w:tc>
        <w:tc>
          <w:tcPr>
            <w:tcW w:type="dxa" w:w="1234"/>
          </w:tcPr>
          <w:p>
            <w:r>
              <w:t>Pantone Cool Gray 11 C</w:t>
            </w:r>
          </w:p>
        </w:tc>
        <w:tc>
          <w:tcPr>
            <w:tcW w:type="dxa" w:w="1234"/>
          </w:tcPr>
          <w:p>
            <w:r>
              <w:t>Body copy, captions</w:t>
            </w:r>
          </w:p>
        </w:tc>
      </w:tr>
      <w:tr>
        <w:tc>
          <w:tcPr>
            <w:tcW w:type="dxa" w:w="1234"/>
          </w:tcPr>
          <w:p>
            <w:r>
              <w:t>Success Green</w:t>
            </w:r>
          </w:p>
        </w:tc>
        <w:tc>
          <w:tcPr>
            <w:tcW w:type="dxa" w:w="1234"/>
          </w:tcPr>
          <w:p>
            <w:r>
              <w:t>Semantic</w:t>
            </w:r>
          </w:p>
        </w:tc>
        <w:tc>
          <w:tcPr>
            <w:tcW w:type="dxa" w:w="1234"/>
          </w:tcPr>
          <w:p>
            <w:r>
              <w:t>#38A169</w:t>
            </w:r>
          </w:p>
        </w:tc>
        <w:tc>
          <w:tcPr>
            <w:tcW w:type="dxa" w:w="1234"/>
          </w:tcPr>
          <w:p>
            <w:r>
              <w:t>56, 161, 105</w:t>
            </w:r>
          </w:p>
        </w:tc>
        <w:tc>
          <w:tcPr>
            <w:tcW w:type="dxa" w:w="1234"/>
          </w:tcPr>
          <w:p>
            <w:r>
              <w:t>65, 0, 35, 37</w:t>
            </w:r>
          </w:p>
        </w:tc>
        <w:tc>
          <w:tcPr>
            <w:tcW w:type="dxa" w:w="1234"/>
          </w:tcPr>
          <w:p>
            <w:r>
              <w:t>Pantone 360 C</w:t>
            </w:r>
          </w:p>
        </w:tc>
        <w:tc>
          <w:tcPr>
            <w:tcW w:type="dxa" w:w="1234"/>
          </w:tcPr>
          <w:p>
            <w:r>
              <w:t>Positive indicators, ESG highlights, on-track status</w:t>
            </w:r>
          </w:p>
        </w:tc>
      </w:tr>
      <w:tr>
        <w:tc>
          <w:tcPr>
            <w:tcW w:type="dxa" w:w="1234"/>
          </w:tcPr>
          <w:p>
            <w:r>
              <w:t>Alert Amber</w:t>
            </w:r>
          </w:p>
        </w:tc>
        <w:tc>
          <w:tcPr>
            <w:tcW w:type="dxa" w:w="1234"/>
          </w:tcPr>
          <w:p>
            <w:r>
              <w:t>Semantic</w:t>
            </w:r>
          </w:p>
        </w:tc>
        <w:tc>
          <w:tcPr>
            <w:tcW w:type="dxa" w:w="1234"/>
          </w:tcPr>
          <w:p>
            <w:r>
              <w:t>#D97706</w:t>
            </w:r>
          </w:p>
        </w:tc>
        <w:tc>
          <w:tcPr>
            <w:tcW w:type="dxa" w:w="1234"/>
          </w:tcPr>
          <w:p>
            <w:r>
              <w:t>217, 119, 6</w:t>
            </w:r>
          </w:p>
        </w:tc>
        <w:tc>
          <w:tcPr>
            <w:tcW w:type="dxa" w:w="1234"/>
          </w:tcPr>
          <w:p>
            <w:r>
              <w:t>0, 45, 97, 15</w:t>
            </w:r>
          </w:p>
        </w:tc>
        <w:tc>
          <w:tcPr>
            <w:tcW w:type="dxa" w:w="1234"/>
          </w:tcPr>
          <w:p>
            <w:r>
              <w:t>Pantone 137 C</w:t>
            </w:r>
          </w:p>
        </w:tc>
        <w:tc>
          <w:tcPr>
            <w:tcW w:type="dxa" w:w="1234"/>
          </w:tcPr>
          <w:p>
            <w:r>
              <w:t>Warnings, at-risk indicators</w:t>
            </w:r>
          </w:p>
        </w:tc>
      </w:tr>
      <w:tr>
        <w:tc>
          <w:tcPr>
            <w:tcW w:type="dxa" w:w="1234"/>
          </w:tcPr>
          <w:p>
            <w:r>
              <w:t>Danger Red</w:t>
            </w:r>
          </w:p>
        </w:tc>
        <w:tc>
          <w:tcPr>
            <w:tcW w:type="dxa" w:w="1234"/>
          </w:tcPr>
          <w:p>
            <w:r>
              <w:t>Semantic</w:t>
            </w:r>
          </w:p>
        </w:tc>
        <w:tc>
          <w:tcPr>
            <w:tcW w:type="dxa" w:w="1234"/>
          </w:tcPr>
          <w:p>
            <w:r>
              <w:t>#C53030</w:t>
            </w:r>
          </w:p>
        </w:tc>
        <w:tc>
          <w:tcPr>
            <w:tcW w:type="dxa" w:w="1234"/>
          </w:tcPr>
          <w:p>
            <w:r>
              <w:t>197, 48, 48</w:t>
            </w:r>
          </w:p>
        </w:tc>
        <w:tc>
          <w:tcPr>
            <w:tcW w:type="dxa" w:w="1234"/>
          </w:tcPr>
          <w:p>
            <w:r>
              <w:t>0, 76, 76, 23</w:t>
            </w:r>
          </w:p>
        </w:tc>
        <w:tc>
          <w:tcPr>
            <w:tcW w:type="dxa" w:w="1234"/>
          </w:tcPr>
          <w:p>
            <w:r>
              <w:t>Pantone 200 C</w:t>
            </w:r>
          </w:p>
        </w:tc>
        <w:tc>
          <w:tcPr>
            <w:tcW w:type="dxa" w:w="1234"/>
          </w:tcPr>
          <w:p>
            <w:r>
              <w:t>Errors, critical alerts, off-track status</w:t>
            </w:r>
          </w:p>
        </w:tc>
      </w:tr>
    </w:tbl>
    <w:p>
      <w:pPr>
        <w:pStyle w:val="Heading2"/>
      </w:pPr>
      <w:r>
        <w:rPr>
          <w:color w:val="003050"/>
        </w:rPr>
        <w:t>2.1 Colour Usage Rules</w:t>
      </w:r>
    </w:p>
    <w:p>
      <w:r>
        <w:rPr>
          <w:sz w:val="22"/>
        </w:rPr>
        <w:t>Never use Danger Red for branding or marketing — only for system/status indicators. Teal is the dominant brand colour — use it for maximum 40% of any design surface. Contoso Navy should anchor designs (headers, footers). Semantic colours must not be used decoratively. All digital designs must meet WCAG 2.1 AA contrast ratios (4.5:1 for body text, 3:1 for large text).</w:t>
      </w:r>
    </w:p>
    <w:p>
      <w:r>
        <w:br w:type="page"/>
      </w:r>
    </w:p>
    <w:p>
      <w:pPr>
        <w:pStyle w:val="Heading1"/>
      </w:pPr>
      <w:r>
        <w:rPr>
          <w:color w:val="007B8A"/>
        </w:rPr>
        <w:t>SECTION 3: TYPOGRAPHY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Level</w:t>
            </w:r>
          </w:p>
        </w:tc>
        <w:tc>
          <w:tcPr>
            <w:tcW w:type="dxa" w:w="1440"/>
          </w:tcPr>
          <w:p>
            <w:r>
              <w:rPr>
                <w:b/>
              </w:rPr>
              <w:t>Typeface</w:t>
            </w:r>
          </w:p>
        </w:tc>
        <w:tc>
          <w:tcPr>
            <w:tcW w:type="dxa" w:w="1440"/>
          </w:tcPr>
          <w:p>
            <w:r>
              <w:rPr>
                <w:b/>
              </w:rPr>
              <w:t>Weight</w:t>
            </w:r>
          </w:p>
        </w:tc>
        <w:tc>
          <w:tcPr>
            <w:tcW w:type="dxa" w:w="1440"/>
          </w:tcPr>
          <w:p>
            <w:r>
              <w:rPr>
                <w:b/>
              </w:rPr>
              <w:t>Size (Print)</w:t>
            </w:r>
          </w:p>
        </w:tc>
        <w:tc>
          <w:tcPr>
            <w:tcW w:type="dxa" w:w="1440"/>
          </w:tcPr>
          <w:p>
            <w:r>
              <w:rPr>
                <w:b/>
              </w:rPr>
              <w:t>Size (Digital)</w:t>
            </w:r>
          </w:p>
        </w:tc>
        <w:tc>
          <w:tcPr>
            <w:tcW w:type="dxa" w:w="1440"/>
          </w:tcPr>
          <w:p>
            <w:r>
              <w:rPr>
                <w:b/>
              </w:rPr>
              <w:t>Line Spacing</w:t>
            </w:r>
          </w:p>
        </w:tc>
      </w:tr>
      <w:tr>
        <w:tc>
          <w:tcPr>
            <w:tcW w:type="dxa" w:w="1440"/>
          </w:tcPr>
          <w:p>
            <w:r>
              <w:t>Display / H1</w:t>
            </w:r>
          </w:p>
        </w:tc>
        <w:tc>
          <w:tcPr>
            <w:tcW w:type="dxa" w:w="1440"/>
          </w:tcPr>
          <w:p>
            <w:r>
              <w:t>Source Sans Pro</w:t>
            </w:r>
          </w:p>
        </w:tc>
        <w:tc>
          <w:tcPr>
            <w:tcW w:type="dxa" w:w="1440"/>
          </w:tcPr>
          <w:p>
            <w:r>
              <w:t>Bold (700)</w:t>
            </w:r>
          </w:p>
        </w:tc>
        <w:tc>
          <w:tcPr>
            <w:tcW w:type="dxa" w:w="1440"/>
          </w:tcPr>
          <w:p>
            <w:r>
              <w:t>42-56pt</w:t>
            </w:r>
          </w:p>
        </w:tc>
        <w:tc>
          <w:tcPr>
            <w:tcW w:type="dxa" w:w="1440"/>
          </w:tcPr>
          <w:p>
            <w:r>
              <w:t>36-48px</w:t>
            </w:r>
          </w:p>
        </w:tc>
        <w:tc>
          <w:tcPr>
            <w:tcW w:type="dxa" w:w="1440"/>
          </w:tcPr>
          <w:p>
            <w:r>
              <w:t>1.1</w:t>
            </w:r>
          </w:p>
        </w:tc>
      </w:tr>
      <w:tr>
        <w:tc>
          <w:tcPr>
            <w:tcW w:type="dxa" w:w="1440"/>
          </w:tcPr>
          <w:p>
            <w:r>
              <w:t>H2</w:t>
            </w:r>
          </w:p>
        </w:tc>
        <w:tc>
          <w:tcPr>
            <w:tcW w:type="dxa" w:w="1440"/>
          </w:tcPr>
          <w:p>
            <w:r>
              <w:t>Source Sans Pro</w:t>
            </w:r>
          </w:p>
        </w:tc>
        <w:tc>
          <w:tcPr>
            <w:tcW w:type="dxa" w:w="1440"/>
          </w:tcPr>
          <w:p>
            <w:r>
              <w:t>SemiBold (600)</w:t>
            </w:r>
          </w:p>
        </w:tc>
        <w:tc>
          <w:tcPr>
            <w:tcW w:type="dxa" w:w="1440"/>
          </w:tcPr>
          <w:p>
            <w:r>
              <w:t>28-36pt</w:t>
            </w:r>
          </w:p>
        </w:tc>
        <w:tc>
          <w:tcPr>
            <w:tcW w:type="dxa" w:w="1440"/>
          </w:tcPr>
          <w:p>
            <w:r>
              <w:t>24-32px</w:t>
            </w:r>
          </w:p>
        </w:tc>
        <w:tc>
          <w:tcPr>
            <w:tcW w:type="dxa" w:w="1440"/>
          </w:tcPr>
          <w:p>
            <w:r>
              <w:t>1.2</w:t>
            </w:r>
          </w:p>
        </w:tc>
      </w:tr>
      <w:tr>
        <w:tc>
          <w:tcPr>
            <w:tcW w:type="dxa" w:w="1440"/>
          </w:tcPr>
          <w:p>
            <w:r>
              <w:t>H3</w:t>
            </w:r>
          </w:p>
        </w:tc>
        <w:tc>
          <w:tcPr>
            <w:tcW w:type="dxa" w:w="1440"/>
          </w:tcPr>
          <w:p>
            <w:r>
              <w:t>Source Sans Pro</w:t>
            </w:r>
          </w:p>
        </w:tc>
        <w:tc>
          <w:tcPr>
            <w:tcW w:type="dxa" w:w="1440"/>
          </w:tcPr>
          <w:p>
            <w:r>
              <w:t>SemiBold (600)</w:t>
            </w:r>
          </w:p>
        </w:tc>
        <w:tc>
          <w:tcPr>
            <w:tcW w:type="dxa" w:w="1440"/>
          </w:tcPr>
          <w:p>
            <w:r>
              <w:t>20-24pt</w:t>
            </w:r>
          </w:p>
        </w:tc>
        <w:tc>
          <w:tcPr>
            <w:tcW w:type="dxa" w:w="1440"/>
          </w:tcPr>
          <w:p>
            <w:r>
              <w:t>18-22px</w:t>
            </w:r>
          </w:p>
        </w:tc>
        <w:tc>
          <w:tcPr>
            <w:tcW w:type="dxa" w:w="1440"/>
          </w:tcPr>
          <w:p>
            <w:r>
              <w:t>1.25</w:t>
            </w:r>
          </w:p>
        </w:tc>
      </w:tr>
      <w:tr>
        <w:tc>
          <w:tcPr>
            <w:tcW w:type="dxa" w:w="1440"/>
          </w:tcPr>
          <w:p>
            <w:r>
              <w:t>H4</w:t>
            </w:r>
          </w:p>
        </w:tc>
        <w:tc>
          <w:tcPr>
            <w:tcW w:type="dxa" w:w="1440"/>
          </w:tcPr>
          <w:p>
            <w:r>
              <w:t>Source Sans Pro</w:t>
            </w:r>
          </w:p>
        </w:tc>
        <w:tc>
          <w:tcPr>
            <w:tcW w:type="dxa" w:w="1440"/>
          </w:tcPr>
          <w:p>
            <w:r>
              <w:t>SemiBold (600)</w:t>
            </w:r>
          </w:p>
        </w:tc>
        <w:tc>
          <w:tcPr>
            <w:tcW w:type="dxa" w:w="1440"/>
          </w:tcPr>
          <w:p>
            <w:r>
              <w:t>16-18pt</w:t>
            </w:r>
          </w:p>
        </w:tc>
        <w:tc>
          <w:tcPr>
            <w:tcW w:type="dxa" w:w="1440"/>
          </w:tcPr>
          <w:p>
            <w:r>
              <w:t>15-17px</w:t>
            </w:r>
          </w:p>
        </w:tc>
        <w:tc>
          <w:tcPr>
            <w:tcW w:type="dxa" w:w="1440"/>
          </w:tcPr>
          <w:p>
            <w:r>
              <w:t>1.3</w:t>
            </w:r>
          </w:p>
        </w:tc>
      </w:tr>
      <w:tr>
        <w:tc>
          <w:tcPr>
            <w:tcW w:type="dxa" w:w="1440"/>
          </w:tcPr>
          <w:p>
            <w:r>
              <w:t>Body</w:t>
            </w:r>
          </w:p>
        </w:tc>
        <w:tc>
          <w:tcPr>
            <w:tcW w:type="dxa" w:w="1440"/>
          </w:tcPr>
          <w:p>
            <w:r>
              <w:t>Source Sans Pro</w:t>
            </w:r>
          </w:p>
        </w:tc>
        <w:tc>
          <w:tcPr>
            <w:tcW w:type="dxa" w:w="1440"/>
          </w:tcPr>
          <w:p>
            <w:r>
              <w:t>Regular (400)</w:t>
            </w:r>
          </w:p>
        </w:tc>
        <w:tc>
          <w:tcPr>
            <w:tcW w:type="dxa" w:w="1440"/>
          </w:tcPr>
          <w:p>
            <w:r>
              <w:t>11-12pt</w:t>
            </w:r>
          </w:p>
        </w:tc>
        <w:tc>
          <w:tcPr>
            <w:tcW w:type="dxa" w:w="1440"/>
          </w:tcPr>
          <w:p>
            <w:r>
              <w:t>16-18px</w:t>
            </w:r>
          </w:p>
        </w:tc>
        <w:tc>
          <w:tcPr>
            <w:tcW w:type="dxa" w:w="1440"/>
          </w:tcPr>
          <w:p>
            <w:r>
              <w:t>1.55</w:t>
            </w:r>
          </w:p>
        </w:tc>
      </w:tr>
      <w:tr>
        <w:tc>
          <w:tcPr>
            <w:tcW w:type="dxa" w:w="1440"/>
          </w:tcPr>
          <w:p>
            <w:r>
              <w:t>Caption</w:t>
            </w:r>
          </w:p>
        </w:tc>
        <w:tc>
          <w:tcPr>
            <w:tcW w:type="dxa" w:w="1440"/>
          </w:tcPr>
          <w:p>
            <w:r>
              <w:t>Source Sans Pro</w:t>
            </w:r>
          </w:p>
        </w:tc>
        <w:tc>
          <w:tcPr>
            <w:tcW w:type="dxa" w:w="1440"/>
          </w:tcPr>
          <w:p>
            <w:r>
              <w:t>Light (300)</w:t>
            </w:r>
          </w:p>
        </w:tc>
        <w:tc>
          <w:tcPr>
            <w:tcW w:type="dxa" w:w="1440"/>
          </w:tcPr>
          <w:p>
            <w:r>
              <w:t>9-10pt</w:t>
            </w:r>
          </w:p>
        </w:tc>
        <w:tc>
          <w:tcPr>
            <w:tcW w:type="dxa" w:w="1440"/>
          </w:tcPr>
          <w:p>
            <w:r>
              <w:t>13-14px</w:t>
            </w:r>
          </w:p>
        </w:tc>
        <w:tc>
          <w:tcPr>
            <w:tcW w:type="dxa" w:w="1440"/>
          </w:tcPr>
          <w:p>
            <w:r>
              <w:t>1.4</w:t>
            </w:r>
          </w:p>
        </w:tc>
      </w:tr>
      <w:tr>
        <w:tc>
          <w:tcPr>
            <w:tcW w:type="dxa" w:w="1440"/>
          </w:tcPr>
          <w:p>
            <w:r>
              <w:t>Microsoft Office Fallback — Headings</w:t>
            </w:r>
          </w:p>
        </w:tc>
        <w:tc>
          <w:tcPr>
            <w:tcW w:type="dxa" w:w="1440"/>
          </w:tcPr>
          <w:p>
            <w:r>
              <w:t>Calibri</w:t>
            </w:r>
          </w:p>
        </w:tc>
        <w:tc>
          <w:tcPr>
            <w:tcW w:type="dxa" w:w="1440"/>
          </w:tcPr>
          <w:p>
            <w:r>
              <w:t>Bold</w:t>
            </w:r>
          </w:p>
        </w:tc>
        <w:tc>
          <w:tcPr>
            <w:tcW w:type="dxa" w:w="1440"/>
          </w:tcPr>
          <w:p>
            <w:r>
              <w:t>Match above</w:t>
            </w:r>
          </w:p>
        </w:tc>
        <w:tc>
          <w:tcPr>
            <w:tcW w:type="dxa" w:w="1440"/>
          </w:tcPr>
          <w:p>
            <w:r>
              <w:t>Match above</w:t>
            </w:r>
          </w:p>
        </w:tc>
        <w:tc>
          <w:tcPr>
            <w:tcW w:type="dxa" w:w="1440"/>
          </w:tcPr>
          <w:p>
            <w:r>
              <w:t>Match above</w:t>
            </w:r>
          </w:p>
        </w:tc>
      </w:tr>
      <w:tr>
        <w:tc>
          <w:tcPr>
            <w:tcW w:type="dxa" w:w="1440"/>
          </w:tcPr>
          <w:p>
            <w:r>
              <w:t>Microsoft Office Fallback — Body</w:t>
            </w:r>
          </w:p>
        </w:tc>
        <w:tc>
          <w:tcPr>
            <w:tcW w:type="dxa" w:w="1440"/>
          </w:tcPr>
          <w:p>
            <w:r>
              <w:t>Calibri</w:t>
            </w:r>
          </w:p>
        </w:tc>
        <w:tc>
          <w:tcPr>
            <w:tcW w:type="dxa" w:w="1440"/>
          </w:tcPr>
          <w:p>
            <w:r>
              <w:t>Regular</w:t>
            </w:r>
          </w:p>
        </w:tc>
        <w:tc>
          <w:tcPr>
            <w:tcW w:type="dxa" w:w="1440"/>
          </w:tcPr>
          <w:p>
            <w:r>
              <w:t>Match above</w:t>
            </w:r>
          </w:p>
        </w:tc>
        <w:tc>
          <w:tcPr>
            <w:tcW w:type="dxa" w:w="1440"/>
          </w:tcPr>
          <w:p>
            <w:r>
              <w:t>Match above</w:t>
            </w:r>
          </w:p>
        </w:tc>
        <w:tc>
          <w:tcPr>
            <w:tcW w:type="dxa" w:w="1440"/>
          </w:tcPr>
          <w:p>
            <w:r>
              <w:t>Match above</w:t>
            </w:r>
          </w:p>
        </w:tc>
      </w:tr>
    </w:tbl>
    <w:p>
      <w:r>
        <w:rPr>
          <w:sz w:val="22"/>
        </w:rPr>
        <w:t>Rules: Never use ALL CAPS for body text. Minimum body text: 11pt print, 14px digital (accessibility). Left-align body copy; centred headings allowed for hero sections. No justified text. Avoid more than 2 typefaces on any single piece. Bullet points: use Contoso Teal for bullet markers where possible.</w:t>
      </w:r>
    </w:p>
    <w:p>
      <w:r>
        <w:br w:type="page"/>
      </w:r>
    </w:p>
    <w:p>
      <w:pPr>
        <w:pStyle w:val="Heading1"/>
      </w:pPr>
      <w:r>
        <w:rPr>
          <w:color w:val="007B8A"/>
        </w:rPr>
        <w:t>SECTION 4: TONE OF VOICE</w:t>
      </w:r>
    </w:p>
    <w:p>
      <w:pPr>
        <w:pStyle w:val="Heading2"/>
      </w:pPr>
      <w:r>
        <w:rPr>
          <w:color w:val="003050"/>
        </w:rPr>
        <w:t>4.1 Brand Personality — 4 Traits</w:t>
      </w:r>
    </w:p>
    <w:p>
      <w:r>
        <w:rPr>
          <w:b/>
          <w:color w:val="007B8A"/>
        </w:rPr>
        <w:t xml:space="preserve">Caring: </w:t>
      </w:r>
      <w:r>
        <w:t>We lead with empathy. Healthcare is deeply personal — people come to us at their most vulnerable. Our language should reflect warmth, respect, and genuine concern. We speak to people, not at them.</w:t>
      </w:r>
    </w:p>
    <w:p>
      <w:r>
        <w:rPr>
          <w:b/>
          <w:color w:val="007B8A"/>
        </w:rPr>
        <w:t xml:space="preserve">Expert: </w:t>
      </w:r>
      <w:r>
        <w:t>We are a world-class healthcare group. We speak with confidence, grounded in evidence and clinical excellence. We don't hedge unnecessarily, but we're never arrogant or dismissive of patient concerns.</w:t>
      </w:r>
    </w:p>
    <w:p>
      <w:r>
        <w:rPr>
          <w:b/>
          <w:color w:val="007B8A"/>
        </w:rPr>
        <w:t xml:space="preserve">Accessible: </w:t>
      </w:r>
      <w:r>
        <w:t>We serve patients from every walk of life across 11 countries and multiple languages. Our language must be clear, jargon-free, and understandable to a non-medical audience. We explain, we don't lecture.</w:t>
      </w:r>
    </w:p>
    <w:p>
      <w:r>
        <w:rPr>
          <w:b/>
          <w:color w:val="007B8A"/>
        </w:rPr>
        <w:t xml:space="preserve">Progressive: </w:t>
      </w:r>
      <w:r>
        <w:t>We embrace innovation, technology, and continuous improvement. We speak with optimism about the future of healthcare — AI, precision medicine, digital health — while keeping humanity at the centre.</w:t>
      </w:r>
    </w:p>
    <w:p>
      <w:pPr>
        <w:pStyle w:val="Heading2"/>
      </w:pPr>
      <w:r>
        <w:rPr>
          <w:color w:val="003050"/>
        </w:rPr>
        <w:t>4.2 Do Say / Don't Say — 10 Key Examples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Topic</w:t>
            </w:r>
          </w:p>
        </w:tc>
        <w:tc>
          <w:tcPr>
            <w:tcW w:type="dxa" w:w="2160"/>
          </w:tcPr>
          <w:p>
            <w:r>
              <w:rPr>
                <w:b/>
              </w:rPr>
              <w:t>✅ Do Say</w:t>
            </w:r>
          </w:p>
        </w:tc>
        <w:tc>
          <w:tcPr>
            <w:tcW w:type="dxa" w:w="2160"/>
          </w:tcPr>
          <w:p>
            <w:r>
              <w:rPr>
                <w:b/>
              </w:rPr>
              <w:t>❌ Don't Say</w:t>
            </w:r>
          </w:p>
        </w:tc>
        <w:tc>
          <w:tcPr>
            <w:tcW w:type="dxa" w:w="2160"/>
          </w:tcPr>
          <w:p>
            <w:r>
              <w:rPr>
                <w:b/>
              </w:rPr>
              <w:t>Why It Matters</w:t>
            </w:r>
          </w:p>
        </w:tc>
      </w:tr>
      <w:tr>
        <w:tc>
          <w:tcPr>
            <w:tcW w:type="dxa" w:w="2160"/>
          </w:tcPr>
          <w:p>
            <w:r>
              <w:t>Medical outcomes</w:t>
            </w:r>
          </w:p>
        </w:tc>
        <w:tc>
          <w:tcPr>
            <w:tcW w:type="dxa" w:w="2160"/>
          </w:tcPr>
          <w:p>
            <w:r>
              <w:t>'Our clinical teams support better patient outcomes'</w:t>
            </w:r>
          </w:p>
        </w:tc>
        <w:tc>
          <w:tcPr>
            <w:tcW w:type="dxa" w:w="2160"/>
          </w:tcPr>
          <w:p>
            <w:r>
              <w:t>'We guarantee full recovery'</w:t>
            </w:r>
          </w:p>
        </w:tc>
        <w:tc>
          <w:tcPr>
            <w:tcW w:type="dxa" w:w="2160"/>
          </w:tcPr>
          <w:p>
            <w:r>
              <w:t>Medical outcome claims are legally sensitive and ethically problematic</w:t>
            </w:r>
          </w:p>
        </w:tc>
      </w:tr>
      <w:tr>
        <w:tc>
          <w:tcPr>
            <w:tcW w:type="dxa" w:w="2160"/>
          </w:tcPr>
          <w:p>
            <w:r>
              <w:t>Technology &amp; AI</w:t>
            </w:r>
          </w:p>
        </w:tc>
        <w:tc>
          <w:tcPr>
            <w:tcW w:type="dxa" w:w="2160"/>
          </w:tcPr>
          <w:p>
            <w:r>
              <w:t>'AI-assisted tools support our clinicians in delivering better care'</w:t>
            </w:r>
          </w:p>
        </w:tc>
        <w:tc>
          <w:tcPr>
            <w:tcW w:type="dxa" w:w="2160"/>
          </w:tcPr>
          <w:p>
            <w:r>
              <w:t>'AI replaces the need for doctors'</w:t>
            </w:r>
          </w:p>
        </w:tc>
        <w:tc>
          <w:tcPr>
            <w:tcW w:type="dxa" w:w="2160"/>
          </w:tcPr>
          <w:p>
            <w:r>
              <w:t>Maintains trust; clinical decisions remain with doctors</w:t>
            </w:r>
          </w:p>
        </w:tc>
      </w:tr>
      <w:tr>
        <w:tc>
          <w:tcPr>
            <w:tcW w:type="dxa" w:w="2160"/>
          </w:tcPr>
          <w:p>
            <w:r>
              <w:t>Competitors</w:t>
            </w:r>
          </w:p>
        </w:tc>
        <w:tc>
          <w:tcPr>
            <w:tcW w:type="dxa" w:w="2160"/>
          </w:tcPr>
          <w:p>
            <w:r>
              <w:t>Silence, or 'Contoso Healthcare is committed to...'</w:t>
            </w:r>
          </w:p>
        </w:tc>
        <w:tc>
          <w:tcPr>
            <w:tcW w:type="dxa" w:w="2160"/>
          </w:tcPr>
          <w:p>
            <w:r>
              <w:t>Any competitor naming or negative comparison</w:t>
            </w:r>
          </w:p>
        </w:tc>
        <w:tc>
          <w:tcPr>
            <w:tcW w:type="dxa" w:w="2160"/>
          </w:tcPr>
          <w:p>
            <w:r>
              <w:t>Brand standards; potential defamation risk</w:t>
            </w:r>
          </w:p>
        </w:tc>
      </w:tr>
      <w:tr>
        <w:tc>
          <w:tcPr>
            <w:tcW w:type="dxa" w:w="2160"/>
          </w:tcPr>
          <w:p>
            <w:r>
              <w:t>Pricing / fees</w:t>
            </w:r>
          </w:p>
        </w:tc>
        <w:tc>
          <w:tcPr>
            <w:tcW w:type="dxa" w:w="2160"/>
          </w:tcPr>
          <w:p>
            <w:r>
              <w:t>'Contact us for a personalised treatment estimate'</w:t>
            </w:r>
          </w:p>
        </w:tc>
        <w:tc>
          <w:tcPr>
            <w:tcW w:type="dxa" w:w="2160"/>
          </w:tcPr>
          <w:p>
            <w:r>
              <w:t>Any specific price claim without regulated disclaimer</w:t>
            </w:r>
          </w:p>
        </w:tc>
        <w:tc>
          <w:tcPr>
            <w:tcW w:type="dxa" w:w="2160"/>
          </w:tcPr>
          <w:p>
            <w:r>
              <w:t>Regulatory compliance; pricing varies by market and case</w:t>
            </w:r>
          </w:p>
        </w:tc>
      </w:tr>
      <w:tr>
        <w:tc>
          <w:tcPr>
            <w:tcW w:type="dxa" w:w="2160"/>
          </w:tcPr>
          <w:p>
            <w:r>
              <w:t>Clinical staff</w:t>
            </w:r>
          </w:p>
        </w:tc>
        <w:tc>
          <w:tcPr>
            <w:tcW w:type="dxa" w:w="2160"/>
          </w:tcPr>
          <w:p>
            <w:r>
              <w:t>'Our dedicated and experienced clinical team'</w:t>
            </w:r>
          </w:p>
        </w:tc>
        <w:tc>
          <w:tcPr>
            <w:tcW w:type="dxa" w:w="2160"/>
          </w:tcPr>
          <w:p>
            <w:r>
              <w:t>'World-class / award-winning' without specific evidence</w:t>
            </w:r>
          </w:p>
        </w:tc>
        <w:tc>
          <w:tcPr>
            <w:tcW w:type="dxa" w:w="2160"/>
          </w:tcPr>
          <w:p>
            <w:r>
              <w:t>Unsubstantiated superlatives erode trust</w:t>
            </w:r>
          </w:p>
        </w:tc>
      </w:tr>
      <w:tr>
        <w:tc>
          <w:tcPr>
            <w:tcW w:type="dxa" w:w="2160"/>
          </w:tcPr>
          <w:p>
            <w:r>
              <w:t>Sustainability</w:t>
            </w:r>
          </w:p>
        </w:tc>
        <w:tc>
          <w:tcPr>
            <w:tcW w:type="dxa" w:w="2160"/>
          </w:tcPr>
          <w:p>
            <w:r>
              <w:t>'Progressing toward our science-based Net Zero 2050 commitment'</w:t>
            </w:r>
          </w:p>
        </w:tc>
        <w:tc>
          <w:tcPr>
            <w:tcW w:type="dxa" w:w="2160"/>
          </w:tcPr>
          <w:p>
            <w:r>
              <w:t>'We are green / eco-friendly' (vague)</w:t>
            </w:r>
          </w:p>
        </w:tc>
        <w:tc>
          <w:tcPr>
            <w:tcW w:type="dxa" w:w="2160"/>
          </w:tcPr>
          <w:p>
            <w:r>
              <w:t>Greenwashing risk; specificity builds credibility</w:t>
            </w:r>
          </w:p>
        </w:tc>
      </w:tr>
      <w:tr>
        <w:tc>
          <w:tcPr>
            <w:tcW w:type="dxa" w:w="2160"/>
          </w:tcPr>
          <w:p>
            <w:r>
              <w:t>Patient stories</w:t>
            </w:r>
          </w:p>
        </w:tc>
        <w:tc>
          <w:tcPr>
            <w:tcW w:type="dxa" w:w="2160"/>
          </w:tcPr>
          <w:p>
            <w:r>
              <w:t>'[Patient Name], who kindly shared their experience...' (with consent)</w:t>
            </w:r>
          </w:p>
        </w:tc>
        <w:tc>
          <w:tcPr>
            <w:tcW w:type="dxa" w:w="2160"/>
          </w:tcPr>
          <w:p>
            <w:r>
              <w:t>Any patient detail without signed consent form COMMS-T01</w:t>
            </w:r>
          </w:p>
        </w:tc>
        <w:tc>
          <w:tcPr>
            <w:tcW w:type="dxa" w:w="2160"/>
          </w:tcPr>
          <w:p>
            <w:r>
              <w:t>PDPA / data protection; patient rights</w:t>
            </w:r>
          </w:p>
        </w:tc>
      </w:tr>
      <w:tr>
        <w:tc>
          <w:tcPr>
            <w:tcW w:type="dxa" w:w="2160"/>
          </w:tcPr>
          <w:p>
            <w:r>
              <w:t>Difficult topics (safety events)</w:t>
            </w:r>
          </w:p>
        </w:tc>
        <w:tc>
          <w:tcPr>
            <w:tcW w:type="dxa" w:w="2160"/>
          </w:tcPr>
          <w:p>
            <w:r>
              <w:t>'We are investigating this thoroughly and will share findings'</w:t>
            </w:r>
          </w:p>
        </w:tc>
        <w:tc>
          <w:tcPr>
            <w:tcW w:type="dxa" w:w="2160"/>
          </w:tcPr>
          <w:p>
            <w:r>
              <w:t>'This was an isolated incident' or premature conclusions</w:t>
            </w:r>
          </w:p>
        </w:tc>
        <w:tc>
          <w:tcPr>
            <w:tcW w:type="dxa" w:w="2160"/>
          </w:tcPr>
          <w:p>
            <w:r>
              <w:t>Crisis credibility; legal exposure</w:t>
            </w:r>
          </w:p>
        </w:tc>
      </w:tr>
      <w:tr>
        <w:tc>
          <w:tcPr>
            <w:tcW w:type="dxa" w:w="2160"/>
          </w:tcPr>
          <w:p>
            <w:r>
              <w:t>Community impact</w:t>
            </w:r>
          </w:p>
        </w:tc>
        <w:tc>
          <w:tcPr>
            <w:tcW w:type="dxa" w:w="2160"/>
          </w:tcPr>
          <w:p>
            <w:r>
              <w:t>'Contoso invested USD 12.4M in community health programmes in FY2025'</w:t>
            </w:r>
          </w:p>
        </w:tc>
        <w:tc>
          <w:tcPr>
            <w:tcW w:type="dxa" w:w="2160"/>
          </w:tcPr>
          <w:p>
            <w:r>
              <w:t>'We give back a lot / we're very charitable'</w:t>
            </w:r>
          </w:p>
        </w:tc>
        <w:tc>
          <w:tcPr>
            <w:tcW w:type="dxa" w:w="2160"/>
          </w:tcPr>
          <w:p>
            <w:r>
              <w:t>Specificity is credible; vagueness is not</w:t>
            </w:r>
          </w:p>
        </w:tc>
      </w:tr>
      <w:tr>
        <w:tc>
          <w:tcPr>
            <w:tcW w:type="dxa" w:w="2160"/>
          </w:tcPr>
          <w:p>
            <w:r>
              <w:t>Digital health</w:t>
            </w:r>
          </w:p>
        </w:tc>
        <w:tc>
          <w:tcPr>
            <w:tcW w:type="dxa" w:w="2160"/>
          </w:tcPr>
          <w:p>
            <w:r>
              <w:t>'Our digital platforms extend access to quality care'</w:t>
            </w:r>
          </w:p>
        </w:tc>
        <w:tc>
          <w:tcPr>
            <w:tcW w:type="dxa" w:w="2160"/>
          </w:tcPr>
          <w:p>
            <w:r>
              <w:t>'Our app cures / diagnoses / replaces clinical consultation'</w:t>
            </w:r>
          </w:p>
        </w:tc>
        <w:tc>
          <w:tcPr>
            <w:tcW w:type="dxa" w:w="2160"/>
          </w:tcPr>
          <w:p>
            <w:r>
              <w:t>Regulatory risk; clinical claims rules apply to digital too</w:t>
            </w:r>
          </w:p>
        </w:tc>
      </w:tr>
    </w:tbl>
    <w:p>
      <w:pPr>
        <w:pStyle w:val="Heading2"/>
      </w:pPr>
      <w:r>
        <w:rPr>
          <w:color w:val="003050"/>
        </w:rPr>
        <w:t>4.3 Market-Specific Guidance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Market</w:t>
            </w:r>
          </w:p>
        </w:tc>
        <w:tc>
          <w:tcPr>
            <w:tcW w:type="dxa" w:w="1728"/>
          </w:tcPr>
          <w:p>
            <w:r>
              <w:rPr>
                <w:b/>
              </w:rPr>
              <w:t>Primary Language(s)</w:t>
            </w:r>
          </w:p>
        </w:tc>
        <w:tc>
          <w:tcPr>
            <w:tcW w:type="dxa" w:w="1728"/>
          </w:tcPr>
          <w:p>
            <w:r>
              <w:rPr>
                <w:b/>
              </w:rPr>
              <w:t>Formality Level</w:t>
            </w:r>
          </w:p>
        </w:tc>
        <w:tc>
          <w:tcPr>
            <w:tcW w:type="dxa" w:w="1728"/>
          </w:tcPr>
          <w:p>
            <w:r>
              <w:rPr>
                <w:b/>
              </w:rPr>
              <w:t>Cultural Notes</w:t>
            </w:r>
          </w:p>
        </w:tc>
        <w:tc>
          <w:tcPr>
            <w:tcW w:type="dxa" w:w="1728"/>
          </w:tcPr>
          <w:p>
            <w:r>
              <w:rPr>
                <w:b/>
              </w:rPr>
              <w:t>Local Compliance</w:t>
            </w:r>
          </w:p>
        </w:tc>
      </w:tr>
      <w:tr>
        <w:tc>
          <w:tcPr>
            <w:tcW w:type="dxa" w:w="1728"/>
          </w:tcPr>
          <w:p>
            <w:r>
              <w:t>Malaysia</w:t>
            </w:r>
          </w:p>
        </w:tc>
        <w:tc>
          <w:tcPr>
            <w:tcW w:type="dxa" w:w="1728"/>
          </w:tcPr>
          <w:p>
            <w:r>
              <w:t>English + Bahasa Malaysia</w:t>
            </w:r>
          </w:p>
        </w:tc>
        <w:tc>
          <w:tcPr>
            <w:tcW w:type="dxa" w:w="1728"/>
          </w:tcPr>
          <w:p>
            <w:r>
              <w:t>Semi-formal (EN), Formal (BM)</w:t>
            </w:r>
          </w:p>
        </w:tc>
        <w:tc>
          <w:tcPr>
            <w:tcW w:type="dxa" w:w="1728"/>
          </w:tcPr>
          <w:p>
            <w:r>
              <w:t>Multi-ethnic sensitivity; avoid race/religion references; halal certification relevant for F&amp;B</w:t>
            </w:r>
          </w:p>
        </w:tc>
        <w:tc>
          <w:tcPr>
            <w:tcW w:type="dxa" w:w="1728"/>
          </w:tcPr>
          <w:p>
            <w:r>
              <w:t>Private Healthcare Facilities Act; MOH Malaysia advertising guidelines</w:t>
            </w:r>
          </w:p>
        </w:tc>
      </w:tr>
      <w:tr>
        <w:tc>
          <w:tcPr>
            <w:tcW w:type="dxa" w:w="1728"/>
          </w:tcPr>
          <w:p>
            <w:r>
              <w:t>Singapore</w:t>
            </w:r>
          </w:p>
        </w:tc>
        <w:tc>
          <w:tcPr>
            <w:tcW w:type="dxa" w:w="1728"/>
          </w:tcPr>
          <w:p>
            <w:r>
              <w:t>English</w:t>
            </w:r>
          </w:p>
        </w:tc>
        <w:tc>
          <w:tcPr>
            <w:tcW w:type="dxa" w:w="1728"/>
          </w:tcPr>
          <w:p>
            <w:r>
              <w:t>Formal-professional</w:t>
            </w:r>
          </w:p>
        </w:tc>
        <w:tc>
          <w:tcPr>
            <w:tcW w:type="dxa" w:w="1728"/>
          </w:tcPr>
          <w:p>
            <w:r>
              <w:t>Multicultural; high health literacy; data privacy (PDPA SG) strictly enforced</w:t>
            </w:r>
          </w:p>
        </w:tc>
        <w:tc>
          <w:tcPr>
            <w:tcW w:type="dxa" w:w="1728"/>
          </w:tcPr>
          <w:p>
            <w:r>
              <w:t>MOH Singapore advertising guidelines; Healthcare Services Act</w:t>
            </w:r>
          </w:p>
        </w:tc>
      </w:tr>
      <w:tr>
        <w:tc>
          <w:tcPr>
            <w:tcW w:type="dxa" w:w="1728"/>
          </w:tcPr>
          <w:p>
            <w:r>
              <w:t>Turkey</w:t>
            </w:r>
          </w:p>
        </w:tc>
        <w:tc>
          <w:tcPr>
            <w:tcW w:type="dxa" w:w="1728"/>
          </w:tcPr>
          <w:p>
            <w:r>
              <w:t>Turkish (primary) + English (medical tourism)</w:t>
            </w:r>
          </w:p>
        </w:tc>
        <w:tc>
          <w:tcPr>
            <w:tcW w:type="dxa" w:w="1728"/>
          </w:tcPr>
          <w:p>
            <w:r>
              <w:t>Formal</w:t>
            </w:r>
          </w:p>
        </w:tc>
        <w:tc>
          <w:tcPr>
            <w:tcW w:type="dxa" w:w="1728"/>
          </w:tcPr>
          <w:p>
            <w:r>
              <w:t>Strong national identity; medical tourism from Middle East and Europe; Ramadan sensitivity</w:t>
            </w:r>
          </w:p>
        </w:tc>
        <w:tc>
          <w:tcPr>
            <w:tcW w:type="dxa" w:w="1728"/>
          </w:tcPr>
          <w:p>
            <w:r>
              <w:t>Turkish Ministry of Health advertising regulations</w:t>
            </w:r>
          </w:p>
        </w:tc>
      </w:tr>
      <w:tr>
        <w:tc>
          <w:tcPr>
            <w:tcW w:type="dxa" w:w="1728"/>
          </w:tcPr>
          <w:p>
            <w:r>
              <w:t>India</w:t>
            </w:r>
          </w:p>
        </w:tc>
        <w:tc>
          <w:tcPr>
            <w:tcW w:type="dxa" w:w="1728"/>
          </w:tcPr>
          <w:p>
            <w:r>
              <w:t>English + Hindi (regional varies)</w:t>
            </w:r>
          </w:p>
        </w:tc>
        <w:tc>
          <w:tcPr>
            <w:tcW w:type="dxa" w:w="1728"/>
          </w:tcPr>
          <w:p>
            <w:r>
              <w:t>Formal-professional</w:t>
            </w:r>
          </w:p>
        </w:tc>
        <w:tc>
          <w:tcPr>
            <w:tcW w:type="dxa" w:w="1728"/>
          </w:tcPr>
          <w:p>
            <w:r>
              <w:t>Diverse markets (Tier 1 city focus for Fortis/Gleneagles); avoid generic 'India' — city/state specificity</w:t>
            </w:r>
          </w:p>
        </w:tc>
        <w:tc>
          <w:tcPr>
            <w:tcW w:type="dxa" w:w="1728"/>
          </w:tcPr>
          <w:p>
            <w:r>
              <w:t>CDSCO / MCI guidelines; state-specific health advertising rules</w:t>
            </w:r>
          </w:p>
        </w:tc>
      </w:tr>
      <w:tr>
        <w:tc>
          <w:tcPr>
            <w:tcW w:type="dxa" w:w="1728"/>
          </w:tcPr>
          <w:p>
            <w:r>
              <w:t>Hong Kong</w:t>
            </w:r>
          </w:p>
        </w:tc>
        <w:tc>
          <w:tcPr>
            <w:tcW w:type="dxa" w:w="1728"/>
          </w:tcPr>
          <w:p>
            <w:r>
              <w:t>English + Cantonese</w:t>
            </w:r>
          </w:p>
        </w:tc>
        <w:tc>
          <w:tcPr>
            <w:tcW w:type="dxa" w:w="1728"/>
          </w:tcPr>
          <w:p>
            <w:r>
              <w:t>Formal</w:t>
            </w:r>
          </w:p>
        </w:tc>
        <w:tc>
          <w:tcPr>
            <w:tcW w:type="dxa" w:w="1728"/>
          </w:tcPr>
          <w:p>
            <w:r>
              <w:t>High health literacy; international patient community; sensitive to mainland China political context</w:t>
            </w:r>
          </w:p>
        </w:tc>
        <w:tc>
          <w:tcPr>
            <w:tcW w:type="dxa" w:w="1728"/>
          </w:tcPr>
          <w:p>
            <w:r>
              <w:t>HA HK guidelines; DH licensing requirements</w:t>
            </w:r>
          </w:p>
        </w:tc>
      </w:tr>
      <w:tr>
        <w:tc>
          <w:tcPr>
            <w:tcW w:type="dxa" w:w="1728"/>
          </w:tcPr>
          <w:p>
            <w:r>
              <w:t>European markets (BG, NL, RS)</w:t>
            </w:r>
          </w:p>
        </w:tc>
        <w:tc>
          <w:tcPr>
            <w:tcW w:type="dxa" w:w="1728"/>
          </w:tcPr>
          <w:p>
            <w:r>
              <w:t>Local language + English</w:t>
            </w:r>
          </w:p>
        </w:tc>
        <w:tc>
          <w:tcPr>
            <w:tcW w:type="dxa" w:w="1728"/>
          </w:tcPr>
          <w:p>
            <w:r>
              <w:t>Formal</w:t>
            </w:r>
          </w:p>
        </w:tc>
        <w:tc>
          <w:tcPr>
            <w:tcW w:type="dxa" w:w="1728"/>
          </w:tcPr>
          <w:p>
            <w:r>
              <w:t>GDPR applies strictly; EU medical device and advertising regulations</w:t>
            </w:r>
          </w:p>
        </w:tc>
        <w:tc>
          <w:tcPr>
            <w:tcW w:type="dxa" w:w="1728"/>
          </w:tcPr>
          <w:p>
            <w:r>
              <w:t>GDPR; EU medical claims regulations</w:t>
            </w:r>
          </w:p>
        </w:tc>
      </w:tr>
    </w:tbl>
    <w:p>
      <w:r>
        <w:br w:type="page"/>
      </w:r>
    </w:p>
    <w:p>
      <w:pPr>
        <w:pStyle w:val="Heading1"/>
      </w:pPr>
      <w:r>
        <w:rPr>
          <w:color w:val="007B8A"/>
        </w:rPr>
        <w:t>SECTION 5: APPROVED MESSAGING FRAMEWORKS</w:t>
      </w:r>
    </w:p>
    <w:p>
      <w:r>
        <w:rPr>
          <w:b/>
        </w:rPr>
        <w:t>Framework: Patient Care Excellence</w:t>
      </w:r>
    </w:p>
    <w:p>
      <w:r>
        <w:rPr>
          <w:sz w:val="22"/>
        </w:rPr>
        <w:t>Core message: We deliver compassionate, expert healthcare that puts patients first at every step of their journey.</w:t>
      </w:r>
    </w:p>
    <w:p>
      <w:pPr>
        <w:pStyle w:val="ListBullet"/>
      </w:pPr>
      <w:r>
        <w:t>Proof points:</w:t>
      </w:r>
    </w:p>
    <w:p>
      <w:pPr>
        <w:pStyle w:val="ListBullet2"/>
      </w:pPr>
      <w:r>
        <w:t>JCI-accredited hospitals across 11 countries</w:t>
      </w:r>
    </w:p>
    <w:p>
      <w:pPr>
        <w:pStyle w:val="ListBullet2"/>
      </w:pPr>
      <w:r>
        <w:t>Over 1 million patients treated annually</w:t>
      </w:r>
    </w:p>
    <w:p>
      <w:pPr>
        <w:pStyle w:val="ListBullet2"/>
      </w:pPr>
      <w:r>
        <w:t>Patient NPS of 73.5 (industry avg 64)</w:t>
      </w:r>
    </w:p>
    <w:p>
      <w:r>
        <w:rPr>
          <w:sz w:val="22"/>
        </w:rPr>
        <w:t>Approved tone: Caring expertise; patient-centred language</w:t>
      </w:r>
    </w:p>
    <w:p>
      <w:r>
        <w:rPr>
          <w:sz w:val="22"/>
        </w:rPr>
        <w:t>Language to avoid: Claims about specific treatments, cure rates, guarantees</w:t>
      </w:r>
    </w:p>
    <w:p/>
    <w:p>
      <w:r>
        <w:rPr>
          <w:b/>
        </w:rPr>
        <w:t>Framework: Innovation &amp; Digital Health</w:t>
      </w:r>
    </w:p>
    <w:p>
      <w:r>
        <w:rPr>
          <w:sz w:val="22"/>
        </w:rPr>
        <w:t>Core message: We harness the power of technology to make quality healthcare more accessible, efficient, and personalised.</w:t>
      </w:r>
    </w:p>
    <w:p>
      <w:pPr>
        <w:pStyle w:val="ListBullet"/>
      </w:pPr>
      <w:r>
        <w:t>Proof points:</w:t>
      </w:r>
    </w:p>
    <w:p>
      <w:pPr>
        <w:pStyle w:val="ListBullet2"/>
      </w:pPr>
      <w:r>
        <w:t>AI-assisted clinical decision support</w:t>
      </w:r>
    </w:p>
    <w:p>
      <w:pPr>
        <w:pStyle w:val="ListBullet2"/>
      </w:pPr>
      <w:r>
        <w:t>Microsoft 365 Copilot across administrative and clinical teams</w:t>
      </w:r>
    </w:p>
    <w:p>
      <w:pPr>
        <w:pStyle w:val="ListBullet2"/>
      </w:pPr>
      <w:r>
        <w:t>Telehealth and digital patient journey across all markets</w:t>
      </w:r>
    </w:p>
    <w:p>
      <w:r>
        <w:rPr>
          <w:sz w:val="22"/>
        </w:rPr>
        <w:t>Approved tone: Progressive, accessible; technology serves people</w:t>
      </w:r>
    </w:p>
    <w:p>
      <w:r>
        <w:rPr>
          <w:sz w:val="22"/>
        </w:rPr>
        <w:t>Language to avoid: AI replaces doctors; specific AI diagnostic claims without regulatory clearance</w:t>
      </w:r>
    </w:p>
    <w:p/>
    <w:p>
      <w:r>
        <w:rPr>
          <w:b/>
        </w:rPr>
        <w:t>Framework: Sustainability &amp; Responsibility</w:t>
      </w:r>
    </w:p>
    <w:p>
      <w:r>
        <w:rPr>
          <w:sz w:val="22"/>
        </w:rPr>
        <w:t>Core message: We are committed to delivering healthcare that is good for patients, communities, and the planet.</w:t>
      </w:r>
    </w:p>
    <w:p>
      <w:pPr>
        <w:pStyle w:val="ListBullet"/>
      </w:pPr>
      <w:r>
        <w:t>Proof points:</w:t>
      </w:r>
    </w:p>
    <w:p>
      <w:pPr>
        <w:pStyle w:val="ListBullet2"/>
      </w:pPr>
      <w:r>
        <w:t>Net Zero 2050 commitment, SBTi-aligned</w:t>
      </w:r>
    </w:p>
    <w:p>
      <w:pPr>
        <w:pStyle w:val="ListBullet2"/>
      </w:pPr>
      <w:r>
        <w:t>USD 12.4M community investment in FY2025</w:t>
      </w:r>
    </w:p>
    <w:p>
      <w:pPr>
        <w:pStyle w:val="ListBullet2"/>
      </w:pPr>
      <w:r>
        <w:t>30% renewable energy target by 2030</w:t>
      </w:r>
    </w:p>
    <w:p>
      <w:r>
        <w:rPr>
          <w:sz w:val="22"/>
        </w:rPr>
        <w:t>Approved tone: Specific, evidence-grounded; avoid vague 'green' claims</w:t>
      </w:r>
    </w:p>
    <w:p>
      <w:r>
        <w:rPr>
          <w:sz w:val="22"/>
        </w:rPr>
        <w:t>Language to avoid: Unverified environmental claims; greenwashing language</w:t>
      </w:r>
    </w:p>
    <w:p/>
    <w:p>
      <w:r>
        <w:br w:type="page"/>
      </w:r>
    </w:p>
    <w:p>
      <w:pPr>
        <w:pStyle w:val="Heading1"/>
      </w:pPr>
      <w:r>
        <w:rPr>
          <w:color w:val="007B8A"/>
        </w:rPr>
        <w:t>SECTION 6: SOCIAL MEDIA GUIDELINES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Platform</w:t>
            </w:r>
          </w:p>
        </w:tc>
        <w:tc>
          <w:tcPr>
            <w:tcW w:type="dxa" w:w="1440"/>
          </w:tcPr>
          <w:p>
            <w:r>
              <w:rPr>
                <w:b/>
              </w:rPr>
              <w:t>Handle Type</w:t>
            </w:r>
          </w:p>
        </w:tc>
        <w:tc>
          <w:tcPr>
            <w:tcW w:type="dxa" w:w="1440"/>
          </w:tcPr>
          <w:p>
            <w:r>
              <w:rPr>
                <w:b/>
              </w:rPr>
              <w:t>Tone</w:t>
            </w:r>
          </w:p>
        </w:tc>
        <w:tc>
          <w:tcPr>
            <w:tcW w:type="dxa" w:w="1440"/>
          </w:tcPr>
          <w:p>
            <w:r>
              <w:rPr>
                <w:b/>
              </w:rPr>
              <w:t>Image Specs</w:t>
            </w:r>
          </w:p>
        </w:tc>
        <w:tc>
          <w:tcPr>
            <w:tcW w:type="dxa" w:w="1440"/>
          </w:tcPr>
          <w:p>
            <w:r>
              <w:rPr>
                <w:b/>
              </w:rPr>
              <w:t>Posting Frequency</w:t>
            </w:r>
          </w:p>
        </w:tc>
        <w:tc>
          <w:tcPr>
            <w:tcW w:type="dxa" w:w="1440"/>
          </w:tcPr>
          <w:p>
            <w:r>
              <w:rPr>
                <w:b/>
              </w:rPr>
              <w:t>Response Time SLA</w:t>
            </w:r>
          </w:p>
        </w:tc>
      </w:tr>
      <w:tr>
        <w:tc>
          <w:tcPr>
            <w:tcW w:type="dxa" w:w="1440"/>
          </w:tcPr>
          <w:p>
            <w:r>
              <w:t>LinkedIn</w:t>
            </w:r>
          </w:p>
        </w:tc>
        <w:tc>
          <w:tcPr>
            <w:tcW w:type="dxa" w:w="1440"/>
          </w:tcPr>
          <w:p>
            <w:r>
              <w:t>Corporate + Hospital accounts</w:t>
            </w:r>
          </w:p>
        </w:tc>
        <w:tc>
          <w:tcPr>
            <w:tcW w:type="dxa" w:w="1440"/>
          </w:tcPr>
          <w:p>
            <w:r>
              <w:t>Professional, data-driven, thought leadership</w:t>
            </w:r>
          </w:p>
        </w:tc>
        <w:tc>
          <w:tcPr>
            <w:tcW w:type="dxa" w:w="1440"/>
          </w:tcPr>
          <w:p>
            <w:r>
              <w:t>1200×627px (link); 1080×1350 (portrait)</w:t>
            </w:r>
          </w:p>
        </w:tc>
        <w:tc>
          <w:tcPr>
            <w:tcW w:type="dxa" w:w="1440"/>
          </w:tcPr>
          <w:p>
            <w:r>
              <w:t>3×/week min (corporate); 2×/week (hospital)</w:t>
            </w:r>
          </w:p>
        </w:tc>
        <w:tc>
          <w:tcPr>
            <w:tcW w:type="dxa" w:w="1440"/>
          </w:tcPr>
          <w:p>
            <w:r>
              <w:t>Business hours: 4 hours</w:t>
            </w:r>
          </w:p>
        </w:tc>
      </w:tr>
      <w:tr>
        <w:tc>
          <w:tcPr>
            <w:tcW w:type="dxa" w:w="1440"/>
          </w:tcPr>
          <w:p>
            <w:r>
              <w:t>Facebook</w:t>
            </w:r>
          </w:p>
        </w:tc>
        <w:tc>
          <w:tcPr>
            <w:tcW w:type="dxa" w:w="1440"/>
          </w:tcPr>
          <w:p>
            <w:r>
              <w:t>Hospital accounts (no corporate)</w:t>
            </w:r>
          </w:p>
        </w:tc>
        <w:tc>
          <w:tcPr>
            <w:tcW w:type="dxa" w:w="1440"/>
          </w:tcPr>
          <w:p>
            <w:r>
              <w:t>Warm, community-focused, patient stories</w:t>
            </w:r>
          </w:p>
        </w:tc>
        <w:tc>
          <w:tcPr>
            <w:tcW w:type="dxa" w:w="1440"/>
          </w:tcPr>
          <w:p>
            <w:r>
              <w:t>1200×630px (post); 1080×1920 (story)</w:t>
            </w:r>
          </w:p>
        </w:tc>
        <w:tc>
          <w:tcPr>
            <w:tcW w:type="dxa" w:w="1440"/>
          </w:tcPr>
          <w:p>
            <w:r>
              <w:t>Daily (hospital accounts)</w:t>
            </w:r>
          </w:p>
        </w:tc>
        <w:tc>
          <w:tcPr>
            <w:tcW w:type="dxa" w:w="1440"/>
          </w:tcPr>
          <w:p>
            <w:r>
              <w:t>All hours: 2 hours for complaints; 4 hours others</w:t>
            </w:r>
          </w:p>
        </w:tc>
      </w:tr>
      <w:tr>
        <w:tc>
          <w:tcPr>
            <w:tcW w:type="dxa" w:w="1440"/>
          </w:tcPr>
          <w:p>
            <w:r>
              <w:t>Instagram</w:t>
            </w:r>
          </w:p>
        </w:tc>
        <w:tc>
          <w:tcPr>
            <w:tcW w:type="dxa" w:w="1440"/>
          </w:tcPr>
          <w:p>
            <w:r>
              <w:t>Hospital + brand accounts</w:t>
            </w:r>
          </w:p>
        </w:tc>
        <w:tc>
          <w:tcPr>
            <w:tcW w:type="dxa" w:w="1440"/>
          </w:tcPr>
          <w:p>
            <w:r>
              <w:t>Visual, inspiring, human-centred stories</w:t>
            </w:r>
          </w:p>
        </w:tc>
        <w:tc>
          <w:tcPr>
            <w:tcW w:type="dxa" w:w="1440"/>
          </w:tcPr>
          <w:p>
            <w:r>
              <w:t>1080×1080px (feed); 1080×1920px (story/Reel)</w:t>
            </w:r>
          </w:p>
        </w:tc>
        <w:tc>
          <w:tcPr>
            <w:tcW w:type="dxa" w:w="1440"/>
          </w:tcPr>
          <w:p>
            <w:r>
              <w:t>5×/week (feed); daily stories</w:t>
            </w:r>
          </w:p>
        </w:tc>
        <w:tc>
          <w:tcPr>
            <w:tcW w:type="dxa" w:w="1440"/>
          </w:tcPr>
          <w:p>
            <w:r>
              <w:t>Non-urgent: 8 hours</w:t>
            </w:r>
          </w:p>
        </w:tc>
      </w:tr>
      <w:tr>
        <w:tc>
          <w:tcPr>
            <w:tcW w:type="dxa" w:w="1440"/>
          </w:tcPr>
          <w:p>
            <w:r>
              <w:t>X (Twitter)</w:t>
            </w:r>
          </w:p>
        </w:tc>
        <w:tc>
          <w:tcPr>
            <w:tcW w:type="dxa" w:w="1440"/>
          </w:tcPr>
          <w:p>
            <w:r>
              <w:t>Corporate only (@ContosoHealth)</w:t>
            </w:r>
          </w:p>
        </w:tc>
        <w:tc>
          <w:tcPr>
            <w:tcW w:type="dxa" w:w="1440"/>
          </w:tcPr>
          <w:p>
            <w:r>
              <w:t>Concise, news-driven, stakeholder-facing</w:t>
            </w:r>
          </w:p>
        </w:tc>
        <w:tc>
          <w:tcPr>
            <w:tcW w:type="dxa" w:w="1440"/>
          </w:tcPr>
          <w:p>
            <w:r>
              <w:t>1200×675px</w:t>
            </w:r>
          </w:p>
        </w:tc>
        <w:tc>
          <w:tcPr>
            <w:tcW w:type="dxa" w:w="1440"/>
          </w:tcPr>
          <w:p>
            <w:r>
              <w:t>As-needed: news, events, responses</w:t>
            </w:r>
          </w:p>
        </w:tc>
        <w:tc>
          <w:tcPr>
            <w:tcW w:type="dxa" w:w="1440"/>
          </w:tcPr>
          <w:p>
            <w:r>
              <w:t>Business hours: 2 hours</w:t>
            </w:r>
          </w:p>
        </w:tc>
      </w:tr>
      <w:tr>
        <w:tc>
          <w:tcPr>
            <w:tcW w:type="dxa" w:w="1440"/>
          </w:tcPr>
          <w:p>
            <w:r>
              <w:t>YouTube</w:t>
            </w:r>
          </w:p>
        </w:tc>
        <w:tc>
          <w:tcPr>
            <w:tcW w:type="dxa" w:w="1440"/>
          </w:tcPr>
          <w:p>
            <w:r>
              <w:t>Corporate + hospital</w:t>
            </w:r>
          </w:p>
        </w:tc>
        <w:tc>
          <w:tcPr>
            <w:tcW w:type="dxa" w:w="1440"/>
          </w:tcPr>
          <w:p>
            <w:r>
              <w:t>Professional, educational; patient story format</w:t>
            </w:r>
          </w:p>
        </w:tc>
        <w:tc>
          <w:tcPr>
            <w:tcW w:type="dxa" w:w="1440"/>
          </w:tcPr>
          <w:p>
            <w:r>
              <w:t>1920×1080px (16:9 HD); captions required</w:t>
            </w:r>
          </w:p>
        </w:tc>
        <w:tc>
          <w:tcPr>
            <w:tcW w:type="dxa" w:w="1440"/>
          </w:tcPr>
          <w:p>
            <w:r>
              <w:t>Monthly (corporate); quarterly (hospital)</w:t>
            </w:r>
          </w:p>
        </w:tc>
        <w:tc>
          <w:tcPr>
            <w:tcW w:type="dxa" w:w="1440"/>
          </w:tcPr>
          <w:p>
            <w:r>
              <w:t>Comment moderation: 24 hours</w:t>
            </w:r>
          </w:p>
        </w:tc>
      </w:tr>
    </w:tbl>
    <w:p>
      <w:r>
        <w:rPr>
          <w:sz w:val="22"/>
        </w:rPr>
        <w:t>Content that requires mandatory pre-approval: clinical outcome claims, patient testimonials, financial performance references, ESG commitments, any content involving Acibadem/Fortis brands (separate brand teams), crisis or sensitive issue content.</w:t>
      </w:r>
    </w:p>
    <w:p>
      <w:r>
        <w:br w:type="page"/>
      </w:r>
    </w:p>
    <w:p>
      <w:pPr>
        <w:pStyle w:val="Heading1"/>
      </w:pPr>
      <w:r>
        <w:rPr>
          <w:color w:val="007B8A"/>
        </w:rPr>
        <w:t>SECTION 7: PRESS RELEASE TEMPLATE</w:t>
      </w:r>
    </w:p>
    <w:p>
      <w:r>
        <w:rPr>
          <w:sz w:val="22"/>
        </w:rPr>
        <w:t>Standard template — all fields mandatory unless marked optional:</w:t>
      </w:r>
    </w:p>
    <w:p>
      <w:r>
        <w:t>FOR IMMEDIATE RELEASE / EMBARGOED UNTIL [DATE &amp; TIME — mandatory for embargoed releases]</w:t>
        <w:br/>
        <w:br/>
        <w:t>[HEADLINE: Maximum 12 words. News lead — not marketing. What happened?]</w:t>
        <w:br/>
        <w:t>[SUBHEADLINE — Optional: one supporting sentence for context]</w:t>
        <w:br/>
        <w:br/>
        <w:t>[CITY], [DATE] — [LEAD PARAGRAPH: Who, what, where, when, why in 40 words max.]</w:t>
        <w:br/>
        <w:br/>
        <w:t>[BODY PARAGRAPH 1: Most important supporting facts. Max 3 sentences. No jargon. Active voice.]</w:t>
        <w:br/>
        <w:br/>
        <w:t>[BODY PARAGRAPH 2: Context, background, or additional data. Max 3 sentences.]</w:t>
        <w:br/>
        <w:br/>
        <w:t>"[APPROVED QUOTE — must be pre-approved by the quoted individual and Group Comms]," said [Full Name, Title], Contoso Healthcare.</w:t>
        <w:br/>
        <w:br/>
        <w:t>"[OPTIONAL: Second quote from Hospital CEO or clinical lead — if relevant and pre-approved]," said [Name, Title].</w:t>
        <w:br/>
        <w:br/>
        <w:t>About Contoso Healthcare</w:t>
        <w:br/>
        <w:t>Contoso Healthcare (Bursa: XXXX | SGX: XXXX) is one of the world's largest private healthcare groups, operating 85 hospitals and medical facilities across 11 countries. Guided by our promise of 'Caring for Life', Contoso serves over one million patients annually across Asia, the Middle East, and Europe.</w:t>
        <w:br/>
        <w:br/>
        <w:t>Media contact: Group Corporate Communications | comms@contosohealthcare.com | +603-XXXX-XXXX</w:t>
        <w:br/>
        <w:br/>
        <w:t>###</w:t>
      </w:r>
    </w:p>
    <w:p>
      <w:r>
        <w:br w:type="page"/>
      </w:r>
    </w:p>
    <w:p>
      <w:pPr>
        <w:pStyle w:val="Heading1"/>
      </w:pPr>
      <w:r>
        <w:rPr>
          <w:color w:val="007B8A"/>
        </w:rPr>
        <w:t>SECTION 8: DO'S AND DON'TS CHECKLIST</w:t>
      </w:r>
    </w:p>
    <w:p>
      <w:pPr>
        <w:pStyle w:val="Heading2"/>
      </w:pPr>
      <w:r>
        <w:rPr>
          <w:color w:val="003050"/>
        </w:rPr>
        <w:t>✅ DO — Always</w:t>
      </w:r>
    </w:p>
    <w:p>
      <w:pPr>
        <w:pStyle w:val="ListBullet"/>
      </w:pPr>
      <w:r>
        <w:t>Download logo files from Contoso Brand Hub (SharePoint: /Group-Comms/Brand-Hub) — never recreate</w:t>
      </w:r>
    </w:p>
    <w:p>
      <w:pPr>
        <w:pStyle w:val="ListBullet"/>
      </w:pPr>
      <w:r>
        <w:t>Get Group Comms approval before any press release, media interview, or external statement</w:t>
      </w:r>
    </w:p>
    <w:p>
      <w:pPr>
        <w:pStyle w:val="ListBullet"/>
      </w:pPr>
      <w:r>
        <w:t>Use Source Sans Pro (or Calibri fallback in Office) — never Arial, Times New Roman, or decorative fonts</w:t>
      </w:r>
    </w:p>
    <w:p>
      <w:pPr>
        <w:pStyle w:val="ListBullet"/>
      </w:pPr>
      <w:r>
        <w:t>Include the Contoso Healthcare boilerplate in every press release and major external document</w:t>
      </w:r>
    </w:p>
    <w:p>
      <w:pPr>
        <w:pStyle w:val="ListBullet"/>
      </w:pPr>
      <w:r>
        <w:t>Cite specific data sources for any statistics or performance claims</w:t>
      </w:r>
    </w:p>
    <w:p>
      <w:pPr>
        <w:pStyle w:val="ListBullet"/>
      </w:pPr>
      <w:r>
        <w:t>Get Medical Director sign-off for all clinical outcome claims, before any channel</w:t>
      </w:r>
    </w:p>
    <w:p>
      <w:pPr>
        <w:pStyle w:val="ListBullet"/>
      </w:pPr>
      <w:r>
        <w:t>Obtain signed patient consent (Form COMMS-T01) before any patient photo, video, or testimonial</w:t>
      </w:r>
    </w:p>
    <w:p>
      <w:pPr>
        <w:pStyle w:val="ListBullet"/>
      </w:pPr>
      <w:r>
        <w:t>Disclose Bursa Malaysia / SGX listing codes in all investor and financial communications</w:t>
      </w:r>
    </w:p>
    <w:p>
      <w:pPr>
        <w:pStyle w:val="ListBullet"/>
      </w:pPr>
      <w:r>
        <w:t>Adapt tone for local market (see Section 4.3) while keeping core brand personality consistent</w:t>
      </w:r>
    </w:p>
    <w:p>
      <w:pPr>
        <w:pStyle w:val="ListBullet"/>
      </w:pPr>
      <w:r>
        <w:t>Test all digital content for WCAG 2.1 AA accessibility compliance before publishing</w:t>
      </w:r>
    </w:p>
    <w:p>
      <w:pPr>
        <w:pStyle w:val="ListBullet"/>
      </w:pPr>
      <w:r>
        <w:t>Translate brand materials using approved medical translators — never machine translation alone</w:t>
      </w:r>
    </w:p>
    <w:p>
      <w:pPr>
        <w:pStyle w:val="ListBullet"/>
      </w:pPr>
      <w:r>
        <w:t>Follow GDPR / PDPA requirements for all communications involving personal data</w:t>
      </w:r>
    </w:p>
    <w:p>
      <w:pPr>
        <w:pStyle w:val="ListBullet"/>
      </w:pPr>
      <w:r>
        <w:t>Use RAG (Red/Amber/Green) status consistently as defined in Section 2 colour palette</w:t>
      </w:r>
    </w:p>
    <w:p>
      <w:pPr>
        <w:pStyle w:val="ListBullet"/>
      </w:pPr>
      <w:r>
        <w:t>Report brand guideline violations to Group Comms — they erode brand equity over time</w:t>
      </w:r>
    </w:p>
    <w:p>
      <w:pPr>
        <w:pStyle w:val="ListBullet"/>
      </w:pPr>
      <w:r>
        <w:t>Pre-brief Group Comms for any speech, conference presentation, or interview by senior leaders</w:t>
      </w:r>
    </w:p>
    <w:p>
      <w:pPr>
        <w:pStyle w:val="Heading2"/>
      </w:pPr>
      <w:r>
        <w:rPr>
          <w:color w:val="003050"/>
        </w:rPr>
        <w:t>❌ DON'T — Never</w:t>
      </w:r>
    </w:p>
    <w:p>
      <w:pPr>
        <w:pStyle w:val="ListBullet"/>
      </w:pPr>
      <w:r>
        <w:t>Do NOT name competitors or make comparative claims in external communications</w:t>
      </w:r>
    </w:p>
    <w:p>
      <w:pPr>
        <w:pStyle w:val="ListBullet"/>
      </w:pPr>
      <w:r>
        <w:t>Do NOT make clinical outcome guarantees ('We will cure...', 'Guaranteed results...')</w:t>
      </w:r>
    </w:p>
    <w:p>
      <w:pPr>
        <w:pStyle w:val="ListBullet"/>
      </w:pPr>
      <w:r>
        <w:t>Do NOT use the brand colours for purposes other than defined in Section 2</w:t>
      </w:r>
    </w:p>
    <w:p>
      <w:pPr>
        <w:pStyle w:val="ListBullet"/>
      </w:pPr>
      <w:r>
        <w:t>Do NOT publish patient names, photos, or clinical details without signed consent</w:t>
      </w:r>
    </w:p>
    <w:p>
      <w:pPr>
        <w:pStyle w:val="ListBullet"/>
      </w:pPr>
      <w:r>
        <w:t>Do NOT use social media to respond to individual patient complaints — redirect to patient relations</w:t>
      </w:r>
    </w:p>
    <w:p>
      <w:pPr>
        <w:pStyle w:val="ListBullet"/>
      </w:pPr>
      <w:r>
        <w:t>Do NOT create your own logo variants, templates, or brand materials without Group Comms review</w:t>
      </w:r>
    </w:p>
    <w:p>
      <w:pPr>
        <w:pStyle w:val="ListBullet"/>
      </w:pPr>
      <w:r>
        <w:t>Do NOT quote specific pricing or fees in media communications</w:t>
      </w:r>
    </w:p>
    <w:p>
      <w:pPr>
        <w:pStyle w:val="ListBullet"/>
      </w:pPr>
      <w:r>
        <w:t>Do NOT use the Acibadem, Fortis, or Mount Elizabeth logos without specific brand team approval</w:t>
      </w:r>
    </w:p>
    <w:p>
      <w:pPr>
        <w:pStyle w:val="ListBullet"/>
      </w:pPr>
      <w:r>
        <w:t>Do NOT issue any statement related to regulatory investigations, legal proceedings, or whistleblower matters without Legal and Group Comms sign-off</w:t>
      </w:r>
    </w:p>
    <w:p>
      <w:pPr>
        <w:pStyle w:val="ListBullet"/>
      </w:pPr>
      <w:r>
        <w:t>Do NOT claim AI tools 'diagnose', 'prescribe', or 'replace' clinical judgment</w:t>
      </w:r>
    </w:p>
    <w:p>
      <w:pPr>
        <w:pStyle w:val="ListBullet"/>
      </w:pPr>
      <w:r>
        <w:t>Do NOT post on corporate channels during a crisis without Group Comms direction</w:t>
      </w:r>
    </w:p>
    <w:p>
      <w:pPr>
        <w:pStyle w:val="ListBullet"/>
      </w:pPr>
      <w:r>
        <w:t>Do NOT use stock photos of patients unless from approved Contoso Photography Library</w:t>
      </w:r>
    </w:p>
    <w:p>
      <w:pPr>
        <w:pStyle w:val="ListBullet"/>
      </w:pPr>
      <w:r>
        <w:t>Do NOT translate brand taglines ('Caring for Life') without Group Comms approval — nuance is critical</w:t>
      </w:r>
    </w:p>
    <w:p>
      <w:pPr>
        <w:pStyle w:val="ListBullet"/>
      </w:pPr>
      <w:r>
        <w:t>Do NOT share draft press releases with media before final Group Comms approval</w:t>
      </w:r>
    </w:p>
    <w:p>
      <w:pPr>
        <w:pStyle w:val="ListBullet"/>
      </w:pPr>
      <w:r>
        <w:t>Do NOT use vague sustainability claims ('green', 'eco-friendly', 'carbon neutral') without specific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