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CONTOSO HEALTHCARE GROUP</w:t>
      </w:r>
    </w:p>
    <w:p>
      <w:pPr>
        <w:pStyle w:val="Heading1"/>
        <w:jc w:val="center"/>
      </w:pPr>
      <w:r>
        <w:t>Internal Policy Manual</w:t>
      </w:r>
    </w:p>
    <w:p>
      <w:pPr>
        <w:jc w:val="center"/>
      </w:pPr>
      <w:r>
        <w:t>POL-GROUP-2026 | Version 4.2 | Effective: 1 January 2026 | Owner: Group CEO &amp; Board</w:t>
      </w:r>
    </w:p>
    <w:p>
      <w:pPr>
        <w:jc w:val="center"/>
      </w:pPr>
      <w:r>
        <w:t>⚠️ SAMPLE DATA — Contoso Healthcare · For workshop demonstration only. Not for operational use.</w:t>
      </w:r>
    </w:p>
    <w:p>
      <w:r>
        <w:br w:type="page"/>
      </w:r>
    </w:p>
    <w:p>
      <w:pPr>
        <w:pStyle w:val="Heading1"/>
      </w:pPr>
      <w:r>
        <w:t>Table of Contents</w:t>
      </w:r>
    </w:p>
    <w:p>
      <w:pPr>
        <w:pStyle w:val="ListBullet"/>
      </w:pPr>
      <w:r>
        <w:t>Section 1: Financial Approval Thresholds (POL-FIN-001)</w:t>
      </w:r>
    </w:p>
    <w:p>
      <w:pPr>
        <w:pStyle w:val="ListBullet"/>
      </w:pPr>
      <w:r>
        <w:t>Section 2: Operational KPI Targets (POL-OPS-002)</w:t>
      </w:r>
    </w:p>
    <w:p>
      <w:pPr>
        <w:pStyle w:val="ListBullet"/>
      </w:pPr>
      <w:r>
        <w:t>Section 3: Clinical Governance (POL-CLG-003)</w:t>
      </w:r>
    </w:p>
    <w:p>
      <w:pPr>
        <w:pStyle w:val="ListBullet"/>
      </w:pPr>
      <w:r>
        <w:t>Section 4: Sustainability &amp; ESG Commitments (POL-ESG-004)</w:t>
      </w:r>
    </w:p>
    <w:p>
      <w:pPr>
        <w:pStyle w:val="ListBullet"/>
      </w:pPr>
      <w:r>
        <w:t>Section 5: Communications &amp; Brand Governance (POL-COMMS-005)</w:t>
      </w:r>
    </w:p>
    <w:p>
      <w:pPr>
        <w:pStyle w:val="ListBullet"/>
      </w:pPr>
      <w:r>
        <w:t>Section 6: Human Capital &amp; Performance Review (POL-HR-006)</w:t>
      </w:r>
    </w:p>
    <w:p>
      <w:pPr>
        <w:pStyle w:val="ListBullet"/>
      </w:pPr>
      <w:r>
        <w:t>Section 7: Digital &amp; Data Governance (POL-DIG-007)</w:t>
      </w:r>
    </w:p>
    <w:p>
      <w:r>
        <w:br w:type="page"/>
      </w:r>
    </w:p>
    <w:p>
      <w:pPr>
        <w:pStyle w:val="Heading1"/>
      </w:pPr>
      <w:r>
        <w:rPr>
          <w:color w:val="007B8A"/>
        </w:rPr>
        <w:t>SECTION 1: FINANCIAL APPROVAL THRESHOLDS (POL-FIN-001)</w:t>
      </w:r>
    </w:p>
    <w:p>
      <w:r>
        <w:rPr>
          <w:sz w:val="22"/>
        </w:rPr>
        <w:t>This section governs all financial commitments and expenditure approvals across Contoso Healthcare Group. All amounts are expressed in local currency equivalent. For cross-border transactions, Group Treasury will apply the prevailing intercompany exchange rate.</w:t>
      </w:r>
    </w:p>
    <w:p>
      <w:pPr>
        <w:pStyle w:val="Heading2"/>
      </w:pPr>
      <w:r>
        <w:rPr>
          <w:color w:val="003050"/>
        </w:rPr>
        <w:t>1.1 Operational Expenditure (OPEX)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Amount (Local Currency)</w:t>
            </w:r>
          </w:p>
        </w:tc>
        <w:tc>
          <w:tcPr>
            <w:tcW w:type="dxa" w:w="1728"/>
          </w:tcPr>
          <w:p>
            <w:r>
              <w:rPr>
                <w:b/>
                <w:color w:val="FFFFFF"/>
              </w:rPr>
              <w:t>Approver</w:t>
            </w:r>
          </w:p>
        </w:tc>
        <w:tc>
          <w:tcPr>
            <w:tcW w:type="dxa" w:w="1728"/>
          </w:tcPr>
          <w:p>
            <w:r>
              <w:rPr>
                <w:b/>
                <w:color w:val="FFFFFF"/>
              </w:rPr>
              <w:t>Turnaround</w:t>
            </w:r>
          </w:p>
        </w:tc>
        <w:tc>
          <w:tcPr>
            <w:tcW w:type="dxa" w:w="1728"/>
          </w:tcPr>
          <w:p>
            <w:r>
              <w:rPr>
                <w:b/>
                <w:color w:val="FFFFFF"/>
              </w:rPr>
              <w:t>Documentation Required</w:t>
            </w:r>
          </w:p>
        </w:tc>
        <w:tc>
          <w:tcPr>
            <w:tcW w:type="dxa" w:w="1728"/>
          </w:tcPr>
          <w:p>
            <w:r>
              <w:rPr>
                <w:b/>
                <w:color w:val="FFFFFF"/>
              </w:rPr>
              <w:t>Escalation Trigger</w:t>
            </w:r>
          </w:p>
        </w:tc>
      </w:tr>
      <w:tr>
        <w:tc>
          <w:tcPr>
            <w:tcW w:type="dxa" w:w="1728"/>
          </w:tcPr>
          <w:p>
            <w:r>
              <w:t>Up to LCY 10,000</w:t>
            </w:r>
          </w:p>
        </w:tc>
        <w:tc>
          <w:tcPr>
            <w:tcW w:type="dxa" w:w="1728"/>
          </w:tcPr>
          <w:p>
            <w:r>
              <w:t>Department Head</w:t>
            </w:r>
          </w:p>
        </w:tc>
        <w:tc>
          <w:tcPr>
            <w:tcW w:type="dxa" w:w="1728"/>
          </w:tcPr>
          <w:p>
            <w:r>
              <w:t>2 working days</w:t>
            </w:r>
          </w:p>
        </w:tc>
        <w:tc>
          <w:tcPr>
            <w:tcW w:type="dxa" w:w="1728"/>
          </w:tcPr>
          <w:p>
            <w:r>
              <w:t>Purchase requisition + 1 quote</w:t>
            </w:r>
          </w:p>
        </w:tc>
        <w:tc>
          <w:tcPr>
            <w:tcW w:type="dxa" w:w="1728"/>
          </w:tcPr>
          <w:p>
            <w:r>
              <w:t>None</w:t>
            </w:r>
          </w:p>
        </w:tc>
      </w:tr>
      <w:tr>
        <w:tc>
          <w:tcPr>
            <w:tcW w:type="dxa" w:w="1728"/>
          </w:tcPr>
          <w:p>
            <w:r>
              <w:t>LCY 10,001 – 50,000</w:t>
            </w:r>
          </w:p>
        </w:tc>
        <w:tc>
          <w:tcPr>
            <w:tcW w:type="dxa" w:w="1728"/>
          </w:tcPr>
          <w:p>
            <w:r>
              <w:t>Hospital CEO</w:t>
            </w:r>
          </w:p>
        </w:tc>
        <w:tc>
          <w:tcPr>
            <w:tcW w:type="dxa" w:w="1728"/>
          </w:tcPr>
          <w:p>
            <w:r>
              <w:t>3 working days</w:t>
            </w:r>
          </w:p>
        </w:tc>
        <w:tc>
          <w:tcPr>
            <w:tcW w:type="dxa" w:w="1728"/>
          </w:tcPr>
          <w:p>
            <w:r>
              <w:t>PR + 2 quotes + justification</w:t>
            </w:r>
          </w:p>
        </w:tc>
        <w:tc>
          <w:tcPr>
            <w:tcW w:type="dxa" w:w="1728"/>
          </w:tcPr>
          <w:p>
            <w:r>
              <w:t>Finance Controller notification</w:t>
            </w:r>
          </w:p>
        </w:tc>
      </w:tr>
      <w:tr>
        <w:tc>
          <w:tcPr>
            <w:tcW w:type="dxa" w:w="1728"/>
          </w:tcPr>
          <w:p>
            <w:r>
              <w:t>LCY 50,001 – 250,000</w:t>
            </w:r>
          </w:p>
        </w:tc>
        <w:tc>
          <w:tcPr>
            <w:tcW w:type="dxa" w:w="1728"/>
          </w:tcPr>
          <w:p>
            <w:r>
              <w:t>Hospital CEO + CFO</w:t>
            </w:r>
          </w:p>
        </w:tc>
        <w:tc>
          <w:tcPr>
            <w:tcW w:type="dxa" w:w="1728"/>
          </w:tcPr>
          <w:p>
            <w:r>
              <w:t>5 working days</w:t>
            </w:r>
          </w:p>
        </w:tc>
        <w:tc>
          <w:tcPr>
            <w:tcW w:type="dxa" w:w="1728"/>
          </w:tcPr>
          <w:p>
            <w:r>
              <w:t>PR + 3 quotes + business justification</w:t>
            </w:r>
          </w:p>
        </w:tc>
        <w:tc>
          <w:tcPr>
            <w:tcW w:type="dxa" w:w="1728"/>
          </w:tcPr>
          <w:p>
            <w:r>
              <w:t>Group Finance review required</w:t>
            </w:r>
          </w:p>
        </w:tc>
      </w:tr>
      <w:tr>
        <w:tc>
          <w:tcPr>
            <w:tcW w:type="dxa" w:w="1728"/>
          </w:tcPr>
          <w:p>
            <w:r>
              <w:t>LCY 250,001 – 500,000</w:t>
            </w:r>
          </w:p>
        </w:tc>
        <w:tc>
          <w:tcPr>
            <w:tcW w:type="dxa" w:w="1728"/>
          </w:tcPr>
          <w:p>
            <w:r>
              <w:t>Group CFO</w:t>
            </w:r>
          </w:p>
        </w:tc>
        <w:tc>
          <w:tcPr>
            <w:tcW w:type="dxa" w:w="1728"/>
          </w:tcPr>
          <w:p>
            <w:r>
              <w:t>7 working days</w:t>
            </w:r>
          </w:p>
        </w:tc>
        <w:tc>
          <w:tcPr>
            <w:tcW w:type="dxa" w:w="1728"/>
          </w:tcPr>
          <w:p>
            <w:r>
              <w:t>Full business case + procurement sign-off</w:t>
            </w:r>
          </w:p>
        </w:tc>
        <w:tc>
          <w:tcPr>
            <w:tcW w:type="dxa" w:w="1728"/>
          </w:tcPr>
          <w:p>
            <w:r>
              <w:t>Board Finance Committee notification</w:t>
            </w:r>
          </w:p>
        </w:tc>
      </w:tr>
      <w:tr>
        <w:tc>
          <w:tcPr>
            <w:tcW w:type="dxa" w:w="1728"/>
          </w:tcPr>
          <w:p>
            <w:r>
              <w:t>Above LCY 500,000</w:t>
            </w:r>
          </w:p>
        </w:tc>
        <w:tc>
          <w:tcPr>
            <w:tcW w:type="dxa" w:w="1728"/>
          </w:tcPr>
          <w:p>
            <w:r>
              <w:t>Board approval required</w:t>
            </w:r>
          </w:p>
        </w:tc>
        <w:tc>
          <w:tcPr>
            <w:tcW w:type="dxa" w:w="1728"/>
          </w:tcPr>
          <w:p>
            <w:r>
              <w:t>15 working days</w:t>
            </w:r>
          </w:p>
        </w:tc>
        <w:tc>
          <w:tcPr>
            <w:tcW w:type="dxa" w:w="1728"/>
          </w:tcPr>
          <w:p>
            <w:r>
              <w:t>Board paper + independent assessment</w:t>
            </w:r>
          </w:p>
        </w:tc>
        <w:tc>
          <w:tcPr>
            <w:tcW w:type="dxa" w:w="1728"/>
          </w:tcPr>
          <w:p>
            <w:r>
              <w:t>Audit Committee review</w:t>
            </w:r>
          </w:p>
        </w:tc>
      </w:tr>
    </w:tbl>
    <w:p>
      <w:pPr>
        <w:pStyle w:val="Heading2"/>
      </w:pPr>
      <w:r>
        <w:rPr>
          <w:color w:val="003050"/>
        </w:rPr>
        <w:t>1.2 Capital Expenditure (CAPEX)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Amount (Local Currency)</w:t>
            </w:r>
          </w:p>
        </w:tc>
        <w:tc>
          <w:tcPr>
            <w:tcW w:type="dxa" w:w="1728"/>
          </w:tcPr>
          <w:p>
            <w:r>
              <w:rPr>
                <w:b/>
                <w:color w:val="FFFFFF"/>
              </w:rPr>
              <w:t>Approver</w:t>
            </w:r>
          </w:p>
        </w:tc>
        <w:tc>
          <w:tcPr>
            <w:tcW w:type="dxa" w:w="1728"/>
          </w:tcPr>
          <w:p>
            <w:r>
              <w:rPr>
                <w:b/>
                <w:color w:val="FFFFFF"/>
              </w:rPr>
              <w:t>Business Case</w:t>
            </w:r>
          </w:p>
        </w:tc>
        <w:tc>
          <w:tcPr>
            <w:tcW w:type="dxa" w:w="1728"/>
          </w:tcPr>
          <w:p>
            <w:r>
              <w:rPr>
                <w:b/>
                <w:color w:val="FFFFFF"/>
              </w:rPr>
              <w:t>ROI Required</w:t>
            </w:r>
          </w:p>
        </w:tc>
        <w:tc>
          <w:tcPr>
            <w:tcW w:type="dxa" w:w="1728"/>
          </w:tcPr>
          <w:p>
            <w:r>
              <w:rPr>
                <w:b/>
                <w:color w:val="FFFFFF"/>
              </w:rPr>
              <w:t>Board Approval</w:t>
            </w:r>
          </w:p>
        </w:tc>
      </w:tr>
      <w:tr>
        <w:tc>
          <w:tcPr>
            <w:tcW w:type="dxa" w:w="1728"/>
          </w:tcPr>
          <w:p>
            <w:r>
              <w:t>Up to LCY 100,000</w:t>
            </w:r>
          </w:p>
        </w:tc>
        <w:tc>
          <w:tcPr>
            <w:tcW w:type="dxa" w:w="1728"/>
          </w:tcPr>
          <w:p>
            <w:r>
              <w:t>Hospital CEO</w:t>
            </w:r>
          </w:p>
        </w:tc>
        <w:tc>
          <w:tcPr>
            <w:tcW w:type="dxa" w:w="1728"/>
          </w:tcPr>
          <w:p>
            <w:r>
              <w:t>1-page justification</w:t>
            </w:r>
          </w:p>
        </w:tc>
        <w:tc>
          <w:tcPr>
            <w:tcW w:type="dxa" w:w="1728"/>
          </w:tcPr>
          <w:p>
            <w:r>
              <w:t>Not required</w:t>
            </w:r>
          </w:p>
        </w:tc>
        <w:tc>
          <w:tcPr>
            <w:tcW w:type="dxa" w:w="1728"/>
          </w:tcPr>
          <w:p>
            <w:r>
              <w:t>No</w:t>
            </w:r>
          </w:p>
        </w:tc>
      </w:tr>
      <w:tr>
        <w:tc>
          <w:tcPr>
            <w:tcW w:type="dxa" w:w="1728"/>
          </w:tcPr>
          <w:p>
            <w:r>
              <w:t>LCY 100,001 – 500,000</w:t>
            </w:r>
          </w:p>
        </w:tc>
        <w:tc>
          <w:tcPr>
            <w:tcW w:type="dxa" w:w="1728"/>
          </w:tcPr>
          <w:p>
            <w:r>
              <w:t>Group CFO</w:t>
            </w:r>
          </w:p>
        </w:tc>
        <w:tc>
          <w:tcPr>
            <w:tcW w:type="dxa" w:w="1728"/>
          </w:tcPr>
          <w:p>
            <w:r>
              <w:t>Full business case</w:t>
            </w:r>
          </w:p>
        </w:tc>
        <w:tc>
          <w:tcPr>
            <w:tcW w:type="dxa" w:w="1728"/>
          </w:tcPr>
          <w:p>
            <w:r>
              <w:t>3-year IRR model</w:t>
            </w:r>
          </w:p>
        </w:tc>
        <w:tc>
          <w:tcPr>
            <w:tcW w:type="dxa" w:w="1728"/>
          </w:tcPr>
          <w:p>
            <w:r>
              <w:t>No</w:t>
            </w:r>
          </w:p>
        </w:tc>
      </w:tr>
      <w:tr>
        <w:tc>
          <w:tcPr>
            <w:tcW w:type="dxa" w:w="1728"/>
          </w:tcPr>
          <w:p>
            <w:r>
              <w:t>LCY 500,001 – 1,000,000</w:t>
            </w:r>
          </w:p>
        </w:tc>
        <w:tc>
          <w:tcPr>
            <w:tcW w:type="dxa" w:w="1728"/>
          </w:tcPr>
          <w:p>
            <w:r>
              <w:t>Group CFO + CEO</w:t>
            </w:r>
          </w:p>
        </w:tc>
        <w:tc>
          <w:tcPr>
            <w:tcW w:type="dxa" w:w="1728"/>
          </w:tcPr>
          <w:p>
            <w:r>
              <w:t>Full BC + risk assessment</w:t>
            </w:r>
          </w:p>
        </w:tc>
        <w:tc>
          <w:tcPr>
            <w:tcW w:type="dxa" w:w="1728"/>
          </w:tcPr>
          <w:p>
            <w:r>
              <w:t>5-year IRR model</w:t>
            </w:r>
          </w:p>
        </w:tc>
        <w:tc>
          <w:tcPr>
            <w:tcW w:type="dxa" w:w="1728"/>
          </w:tcPr>
          <w:p>
            <w:r>
              <w:t>No</w:t>
            </w:r>
          </w:p>
        </w:tc>
      </w:tr>
      <w:tr>
        <w:tc>
          <w:tcPr>
            <w:tcW w:type="dxa" w:w="1728"/>
          </w:tcPr>
          <w:p>
            <w:r>
              <w:t>LCY 1,000,001 – 5,000,000</w:t>
            </w:r>
          </w:p>
        </w:tc>
        <w:tc>
          <w:tcPr>
            <w:tcW w:type="dxa" w:w="1728"/>
          </w:tcPr>
          <w:p>
            <w:r>
              <w:t>Board Finance Committee</w:t>
            </w:r>
          </w:p>
        </w:tc>
        <w:tc>
          <w:tcPr>
            <w:tcW w:type="dxa" w:w="1728"/>
          </w:tcPr>
          <w:p>
            <w:r>
              <w:t>Comprehensive feasibility study</w:t>
            </w:r>
          </w:p>
        </w:tc>
        <w:tc>
          <w:tcPr>
            <w:tcW w:type="dxa" w:w="1728"/>
          </w:tcPr>
          <w:p>
            <w:r>
              <w:t>10-year DCF + sensitivity</w:t>
            </w:r>
          </w:p>
        </w:tc>
        <w:tc>
          <w:tcPr>
            <w:tcW w:type="dxa" w:w="1728"/>
          </w:tcPr>
          <w:p>
            <w:r>
              <w:t>Yes — Board resolution</w:t>
            </w:r>
          </w:p>
        </w:tc>
      </w:tr>
      <w:tr>
        <w:tc>
          <w:tcPr>
            <w:tcW w:type="dxa" w:w="1728"/>
          </w:tcPr>
          <w:p>
            <w:r>
              <w:t>Above LCY 5,000,000</w:t>
            </w:r>
          </w:p>
        </w:tc>
        <w:tc>
          <w:tcPr>
            <w:tcW w:type="dxa" w:w="1728"/>
          </w:tcPr>
          <w:p>
            <w:r>
              <w:t>Full Board of Directors</w:t>
            </w:r>
          </w:p>
        </w:tc>
        <w:tc>
          <w:tcPr>
            <w:tcW w:type="dxa" w:w="1728"/>
          </w:tcPr>
          <w:p>
            <w:r>
              <w:t>Independent feasibility + external review</w:t>
            </w:r>
          </w:p>
        </w:tc>
        <w:tc>
          <w:tcPr>
            <w:tcW w:type="dxa" w:w="1728"/>
          </w:tcPr>
          <w:p>
            <w:r>
              <w:t>Full financial model + market study</w:t>
            </w:r>
          </w:p>
        </w:tc>
        <w:tc>
          <w:tcPr>
            <w:tcW w:type="dxa" w:w="1728"/>
          </w:tcPr>
          <w:p>
            <w:r>
              <w:t>Yes — Special Resolution</w:t>
            </w:r>
          </w:p>
        </w:tc>
      </w:tr>
    </w:tbl>
    <w:p>
      <w:pPr>
        <w:pStyle w:val="Heading2"/>
      </w:pPr>
      <w:r>
        <w:rPr>
          <w:color w:val="003050"/>
        </w:rPr>
        <w:t>1.3 Procurement &amp; Vendor Management</w:t>
      </w:r>
    </w:p>
    <w:p>
      <w:r>
        <w:rPr>
          <w:sz w:val="22"/>
        </w:rPr>
        <w:t>All vendors above LCY 500,000 annual spend require Group Procurement pre-approval and vendor due diligence (AML, sanctions screening, ESG assessment). Related party transactions require Audit Committee pre-approval regardless of amount. Sole-sourcing above LCY 100,000 requires written justification approved by Group CFO. All tenders above LCY 1,000,000 must follow Group Standard Tender process with minimum 3 qualified bidders.</w:t>
      </w:r>
    </w:p>
    <w:p>
      <w:pPr>
        <w:pStyle w:val="Heading2"/>
      </w:pPr>
      <w:r>
        <w:rPr>
          <w:color w:val="003050"/>
        </w:rPr>
        <w:t>1.4 Budget Variance Escalation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FFFFFF"/>
              </w:rPr>
              <w:t>Variance vs Budget</w:t>
            </w:r>
          </w:p>
        </w:tc>
        <w:tc>
          <w:tcPr>
            <w:tcW w:type="dxa" w:w="2160"/>
          </w:tcPr>
          <w:p>
            <w:r>
              <w:rPr>
                <w:b/>
                <w:color w:val="FFFFFF"/>
              </w:rPr>
              <w:t>Required Action</w:t>
            </w:r>
          </w:p>
        </w:tc>
        <w:tc>
          <w:tcPr>
            <w:tcW w:type="dxa" w:w="2160"/>
          </w:tcPr>
          <w:p>
            <w:r>
              <w:rPr>
                <w:b/>
                <w:color w:val="FFFFFF"/>
              </w:rPr>
              <w:t>Escalation</w:t>
            </w:r>
          </w:p>
        </w:tc>
        <w:tc>
          <w:tcPr>
            <w:tcW w:type="dxa" w:w="2160"/>
          </w:tcPr>
          <w:p>
            <w:r>
              <w:rPr>
                <w:b/>
                <w:color w:val="FFFFFF"/>
              </w:rPr>
              <w:t>Recovery Plan</w:t>
            </w:r>
          </w:p>
        </w:tc>
      </w:tr>
      <w:tr>
        <w:tc>
          <w:tcPr>
            <w:tcW w:type="dxa" w:w="2160"/>
          </w:tcPr>
          <w:p>
            <w:r>
              <w:t>&lt; ±5%</w:t>
            </w:r>
          </w:p>
        </w:tc>
        <w:tc>
          <w:tcPr>
            <w:tcW w:type="dxa" w:w="2160"/>
          </w:tcPr>
          <w:p>
            <w:r>
              <w:t>Document and monitor</w:t>
            </w:r>
          </w:p>
        </w:tc>
        <w:tc>
          <w:tcPr>
            <w:tcW w:type="dxa" w:w="2160"/>
          </w:tcPr>
          <w:p>
            <w:r>
              <w:t>None</w:t>
            </w:r>
          </w:p>
        </w:tc>
        <w:tc>
          <w:tcPr>
            <w:tcW w:type="dxa" w:w="2160"/>
          </w:tcPr>
          <w:p>
            <w:r>
              <w:t>No formal plan required</w:t>
            </w:r>
          </w:p>
        </w:tc>
      </w:tr>
      <w:tr>
        <w:tc>
          <w:tcPr>
            <w:tcW w:type="dxa" w:w="2160"/>
          </w:tcPr>
          <w:p>
            <w:r>
              <w:t>±5% to ±10%</w:t>
            </w:r>
          </w:p>
        </w:tc>
        <w:tc>
          <w:tcPr>
            <w:tcW w:type="dxa" w:w="2160"/>
          </w:tcPr>
          <w:p>
            <w:r>
              <w:t>Written explanation to Hospital CEO + CFO</w:t>
            </w:r>
          </w:p>
        </w:tc>
        <w:tc>
          <w:tcPr>
            <w:tcW w:type="dxa" w:w="2160"/>
          </w:tcPr>
          <w:p>
            <w:r>
              <w:t>CFO monthly review</w:t>
            </w:r>
          </w:p>
        </w:tc>
        <w:tc>
          <w:tcPr>
            <w:tcW w:type="dxa" w:w="2160"/>
          </w:tcPr>
          <w:p>
            <w:r>
              <w:t>Informal corrective actions</w:t>
            </w:r>
          </w:p>
        </w:tc>
      </w:tr>
      <w:tr>
        <w:tc>
          <w:tcPr>
            <w:tcW w:type="dxa" w:w="2160"/>
          </w:tcPr>
          <w:p>
            <w:r>
              <w:t>±10% to ±15%</w:t>
            </w:r>
          </w:p>
        </w:tc>
        <w:tc>
          <w:tcPr>
            <w:tcW w:type="dxa" w:w="2160"/>
          </w:tcPr>
          <w:p>
            <w:r>
              <w:t>Formal variance report to Group Finance</w:t>
            </w:r>
          </w:p>
        </w:tc>
        <w:tc>
          <w:tcPr>
            <w:tcW w:type="dxa" w:w="2160"/>
          </w:tcPr>
          <w:p>
            <w:r>
              <w:t>Group Finance Committee</w:t>
            </w:r>
          </w:p>
        </w:tc>
        <w:tc>
          <w:tcPr>
            <w:tcW w:type="dxa" w:w="2160"/>
          </w:tcPr>
          <w:p>
            <w:r>
              <w:t>Formal recovery plan within 14 days</w:t>
            </w:r>
          </w:p>
        </w:tc>
      </w:tr>
      <w:tr>
        <w:tc>
          <w:tcPr>
            <w:tcW w:type="dxa" w:w="2160"/>
          </w:tcPr>
          <w:p>
            <w:r>
              <w:t>&gt; ±15%</w:t>
            </w:r>
          </w:p>
        </w:tc>
        <w:tc>
          <w:tcPr>
            <w:tcW w:type="dxa" w:w="2160"/>
          </w:tcPr>
          <w:p>
            <w:r>
              <w:t>Immediate Group CFO notification</w:t>
            </w:r>
          </w:p>
        </w:tc>
        <w:tc>
          <w:tcPr>
            <w:tcW w:type="dxa" w:w="2160"/>
          </w:tcPr>
          <w:p>
            <w:r>
              <w:t>Board Finance Committee</w:t>
            </w:r>
          </w:p>
        </w:tc>
        <w:tc>
          <w:tcPr>
            <w:tcW w:type="dxa" w:w="2160"/>
          </w:tcPr>
          <w:p>
            <w:r>
              <w:t>Emergency recovery plan + board update</w:t>
            </w:r>
          </w:p>
        </w:tc>
      </w:tr>
    </w:tbl>
    <w:p>
      <w:r>
        <w:br w:type="page"/>
      </w:r>
    </w:p>
    <w:p>
      <w:pPr>
        <w:pStyle w:val="Heading1"/>
      </w:pPr>
      <w:r>
        <w:rPr>
          <w:color w:val="007B8A"/>
        </w:rPr>
        <w:t>SECTION 2: OPERATIONAL KPI TARGETS (POL-OPS-002)</w:t>
      </w:r>
    </w:p>
    <w:p>
      <w:r>
        <w:rPr>
          <w:sz w:val="22"/>
        </w:rPr>
        <w:t>The following KPIs apply to all Contoso Healthcare hospitals globally. Country-specific adjustments may be approved by Group COO where local market conditions require deviation. All targets are reviewed annually by the Group Operations Committee.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color w:val="FFFFFF"/>
              </w:rPr>
              <w:t>KPI</w:t>
            </w:r>
          </w:p>
        </w:tc>
        <w:tc>
          <w:tcPr>
            <w:tcW w:type="dxa" w:w="1440"/>
          </w:tcPr>
          <w:p>
            <w:r>
              <w:rPr>
                <w:b/>
                <w:color w:val="FFFFFF"/>
              </w:rPr>
              <w:t>Group Target</w:t>
            </w:r>
          </w:p>
        </w:tc>
        <w:tc>
          <w:tcPr>
            <w:tcW w:type="dxa" w:w="1440"/>
          </w:tcPr>
          <w:p>
            <w:r>
              <w:rPr>
                <w:b/>
                <w:color w:val="FFFFFF"/>
              </w:rPr>
              <w:t>Minimum Threshold</w:t>
            </w:r>
          </w:p>
        </w:tc>
        <w:tc>
          <w:tcPr>
            <w:tcW w:type="dxa" w:w="1440"/>
          </w:tcPr>
          <w:p>
            <w:r>
              <w:rPr>
                <w:b/>
                <w:color w:val="FFFFFF"/>
              </w:rPr>
              <w:t>Measurement</w:t>
            </w:r>
          </w:p>
        </w:tc>
        <w:tc>
          <w:tcPr>
            <w:tcW w:type="dxa" w:w="1440"/>
          </w:tcPr>
          <w:p>
            <w:r>
              <w:rPr>
                <w:b/>
                <w:color w:val="FFFFFF"/>
              </w:rPr>
              <w:t>Owner</w:t>
            </w:r>
          </w:p>
        </w:tc>
        <w:tc>
          <w:tcPr>
            <w:tcW w:type="dxa" w:w="1440"/>
          </w:tcPr>
          <w:p>
            <w:r>
              <w:rPr>
                <w:b/>
                <w:color w:val="FFFFFF"/>
              </w:rPr>
              <w:t>Consequence if Below Threshold</w:t>
            </w:r>
          </w:p>
        </w:tc>
      </w:tr>
      <w:tr>
        <w:tc>
          <w:tcPr>
            <w:tcW w:type="dxa" w:w="1440"/>
          </w:tcPr>
          <w:p>
            <w:r>
              <w:t>Bed Occupancy Rate</w:t>
            </w:r>
          </w:p>
        </w:tc>
        <w:tc>
          <w:tcPr>
            <w:tcW w:type="dxa" w:w="1440"/>
          </w:tcPr>
          <w:p>
            <w:r>
              <w:t>82–87%</w:t>
            </w:r>
          </w:p>
        </w:tc>
        <w:tc>
          <w:tcPr>
            <w:tcW w:type="dxa" w:w="1440"/>
          </w:tcPr>
          <w:p>
            <w:r>
              <w:t>75%</w:t>
            </w:r>
          </w:p>
        </w:tc>
        <w:tc>
          <w:tcPr>
            <w:tcW w:type="dxa" w:w="1440"/>
          </w:tcPr>
          <w:p>
            <w:r>
              <w:t>Daily</w:t>
            </w:r>
          </w:p>
        </w:tc>
        <w:tc>
          <w:tcPr>
            <w:tcW w:type="dxa" w:w="1440"/>
          </w:tcPr>
          <w:p>
            <w:r>
              <w:t>Hospital CEO</w:t>
            </w:r>
          </w:p>
        </w:tc>
        <w:tc>
          <w:tcPr>
            <w:tcW w:type="dxa" w:w="1440"/>
          </w:tcPr>
          <w:p>
            <w:r>
              <w:t>Operational review; bed capacity plan required</w:t>
            </w:r>
          </w:p>
        </w:tc>
      </w:tr>
      <w:tr>
        <w:tc>
          <w:tcPr>
            <w:tcW w:type="dxa" w:w="1440"/>
          </w:tcPr>
          <w:p>
            <w:r>
              <w:t>Average Length of Stay (ALOS)</w:t>
            </w:r>
          </w:p>
        </w:tc>
        <w:tc>
          <w:tcPr>
            <w:tcW w:type="dxa" w:w="1440"/>
          </w:tcPr>
          <w:p>
            <w:r>
              <w:t>≤ 3.8 days</w:t>
            </w:r>
          </w:p>
        </w:tc>
        <w:tc>
          <w:tcPr>
            <w:tcW w:type="dxa" w:w="1440"/>
          </w:tcPr>
          <w:p>
            <w:r>
              <w:t>4.5 days</w:t>
            </w:r>
          </w:p>
        </w:tc>
        <w:tc>
          <w:tcPr>
            <w:tcW w:type="dxa" w:w="1440"/>
          </w:tcPr>
          <w:p>
            <w:r>
              <w:t>Monthly</w:t>
            </w:r>
          </w:p>
        </w:tc>
        <w:tc>
          <w:tcPr>
            <w:tcW w:type="dxa" w:w="1440"/>
          </w:tcPr>
          <w:p>
            <w:r>
              <w:t>Medical Director</w:t>
            </w:r>
          </w:p>
        </w:tc>
        <w:tc>
          <w:tcPr>
            <w:tcW w:type="dxa" w:w="1440"/>
          </w:tcPr>
          <w:p>
            <w:r>
              <w:t>Clinical audit; pathway review</w:t>
            </w:r>
          </w:p>
        </w:tc>
      </w:tr>
      <w:tr>
        <w:tc>
          <w:tcPr>
            <w:tcW w:type="dxa" w:w="1440"/>
          </w:tcPr>
          <w:p>
            <w:r>
              <w:t>Emergency Department Wait Time (P1 triage to doctor)</w:t>
            </w:r>
          </w:p>
        </w:tc>
        <w:tc>
          <w:tcPr>
            <w:tcW w:type="dxa" w:w="1440"/>
          </w:tcPr>
          <w:p>
            <w:r>
              <w:t>≤ 25 minutes</w:t>
            </w:r>
          </w:p>
        </w:tc>
        <w:tc>
          <w:tcPr>
            <w:tcW w:type="dxa" w:w="1440"/>
          </w:tcPr>
          <w:p>
            <w:r>
              <w:t>40 minutes</w:t>
            </w:r>
          </w:p>
        </w:tc>
        <w:tc>
          <w:tcPr>
            <w:tcW w:type="dxa" w:w="1440"/>
          </w:tcPr>
          <w:p>
            <w:r>
              <w:t>Daily</w:t>
            </w:r>
          </w:p>
        </w:tc>
        <w:tc>
          <w:tcPr>
            <w:tcW w:type="dxa" w:w="1440"/>
          </w:tcPr>
          <w:p>
            <w:r>
              <w:t>ED Head</w:t>
            </w:r>
          </w:p>
        </w:tc>
        <w:tc>
          <w:tcPr>
            <w:tcW w:type="dxa" w:w="1440"/>
          </w:tcPr>
          <w:p>
            <w:r>
              <w:t>Immediate escalation; staffing review</w:t>
            </w:r>
          </w:p>
        </w:tc>
      </w:tr>
      <w:tr>
        <w:tc>
          <w:tcPr>
            <w:tcW w:type="dxa" w:w="1440"/>
          </w:tcPr>
          <w:p>
            <w:r>
              <w:t>Patient Satisfaction (NPS)</w:t>
            </w:r>
          </w:p>
        </w:tc>
        <w:tc>
          <w:tcPr>
            <w:tcW w:type="dxa" w:w="1440"/>
          </w:tcPr>
          <w:p>
            <w:r>
              <w:t>≥ 74</w:t>
            </w:r>
          </w:p>
        </w:tc>
        <w:tc>
          <w:tcPr>
            <w:tcW w:type="dxa" w:w="1440"/>
          </w:tcPr>
          <w:p>
            <w:r>
              <w:t>62</w:t>
            </w:r>
          </w:p>
        </w:tc>
        <w:tc>
          <w:tcPr>
            <w:tcW w:type="dxa" w:w="1440"/>
          </w:tcPr>
          <w:p>
            <w:r>
              <w:t>Quarterly</w:t>
            </w:r>
          </w:p>
        </w:tc>
        <w:tc>
          <w:tcPr>
            <w:tcW w:type="dxa" w:w="1440"/>
          </w:tcPr>
          <w:p>
            <w:r>
              <w:t>Quality &amp; Patient Safety</w:t>
            </w:r>
          </w:p>
        </w:tc>
        <w:tc>
          <w:tcPr>
            <w:tcW w:type="dxa" w:w="1440"/>
          </w:tcPr>
          <w:p>
            <w:r>
              <w:t>Root cause analysis; patient experience programme</w:t>
            </w:r>
          </w:p>
        </w:tc>
      </w:tr>
      <w:tr>
        <w:tc>
          <w:tcPr>
            <w:tcW w:type="dxa" w:w="1440"/>
          </w:tcPr>
          <w:p>
            <w:r>
              <w:t>Revenue Per Bed Per Day (local currency)</w:t>
            </w:r>
          </w:p>
        </w:tc>
        <w:tc>
          <w:tcPr>
            <w:tcW w:type="dxa" w:w="1440"/>
          </w:tcPr>
          <w:p>
            <w:r>
              <w:t>≥ LCY 2,800</w:t>
            </w:r>
          </w:p>
        </w:tc>
        <w:tc>
          <w:tcPr>
            <w:tcW w:type="dxa" w:w="1440"/>
          </w:tcPr>
          <w:p>
            <w:r>
              <w:t>LCY 2,400</w:t>
            </w:r>
          </w:p>
        </w:tc>
        <w:tc>
          <w:tcPr>
            <w:tcW w:type="dxa" w:w="1440"/>
          </w:tcPr>
          <w:p>
            <w:r>
              <w:t>Monthly</w:t>
            </w:r>
          </w:p>
        </w:tc>
        <w:tc>
          <w:tcPr>
            <w:tcW w:type="dxa" w:w="1440"/>
          </w:tcPr>
          <w:p>
            <w:r>
              <w:t>Finance Controller</w:t>
            </w:r>
          </w:p>
        </w:tc>
        <w:tc>
          <w:tcPr>
            <w:tcW w:type="dxa" w:w="1440"/>
          </w:tcPr>
          <w:p>
            <w:r>
              <w:t>Revenue strategy review; case mix analysis</w:t>
            </w:r>
          </w:p>
        </w:tc>
      </w:tr>
      <w:tr>
        <w:tc>
          <w:tcPr>
            <w:tcW w:type="dxa" w:w="1440"/>
          </w:tcPr>
          <w:p>
            <w:r>
              <w:t>Clinical Adverse Event Rate</w:t>
            </w:r>
          </w:p>
        </w:tc>
        <w:tc>
          <w:tcPr>
            <w:tcW w:type="dxa" w:w="1440"/>
          </w:tcPr>
          <w:p>
            <w:r>
              <w:t>&lt; 0.4 per 1,000 admissions</w:t>
            </w:r>
          </w:p>
        </w:tc>
        <w:tc>
          <w:tcPr>
            <w:tcW w:type="dxa" w:w="1440"/>
          </w:tcPr>
          <w:p>
            <w:r>
              <w:t>&lt; 0.8</w:t>
            </w:r>
          </w:p>
        </w:tc>
        <w:tc>
          <w:tcPr>
            <w:tcW w:type="dxa" w:w="1440"/>
          </w:tcPr>
          <w:p>
            <w:r>
              <w:t>Monthly</w:t>
            </w:r>
          </w:p>
        </w:tc>
        <w:tc>
          <w:tcPr>
            <w:tcW w:type="dxa" w:w="1440"/>
          </w:tcPr>
          <w:p>
            <w:r>
              <w:t>Clinical Governance</w:t>
            </w:r>
          </w:p>
        </w:tc>
        <w:tc>
          <w:tcPr>
            <w:tcW w:type="dxa" w:w="1440"/>
          </w:tcPr>
          <w:p>
            <w:r>
              <w:t>Mandatory incident investigation; Board notification if above 1.0</w:t>
            </w:r>
          </w:p>
        </w:tc>
      </w:tr>
      <w:tr>
        <w:tc>
          <w:tcPr>
            <w:tcW w:type="dxa" w:w="1440"/>
          </w:tcPr>
          <w:p>
            <w:r>
              <w:t>Hospital-Acquired Infection Rate</w:t>
            </w:r>
          </w:p>
        </w:tc>
        <w:tc>
          <w:tcPr>
            <w:tcW w:type="dxa" w:w="1440"/>
          </w:tcPr>
          <w:p>
            <w:r>
              <w:t>&lt; 1.5%</w:t>
            </w:r>
          </w:p>
        </w:tc>
        <w:tc>
          <w:tcPr>
            <w:tcW w:type="dxa" w:w="1440"/>
          </w:tcPr>
          <w:p>
            <w:r>
              <w:t>&lt; 2.5%</w:t>
            </w:r>
          </w:p>
        </w:tc>
        <w:tc>
          <w:tcPr>
            <w:tcW w:type="dxa" w:w="1440"/>
          </w:tcPr>
          <w:p>
            <w:r>
              <w:t>Monthly</w:t>
            </w:r>
          </w:p>
        </w:tc>
        <w:tc>
          <w:tcPr>
            <w:tcW w:type="dxa" w:w="1440"/>
          </w:tcPr>
          <w:p>
            <w:r>
              <w:t>Infection Control</w:t>
            </w:r>
          </w:p>
        </w:tc>
        <w:tc>
          <w:tcPr>
            <w:tcW w:type="dxa" w:w="1440"/>
          </w:tcPr>
          <w:p>
            <w:r>
              <w:t>Infection control team review; isolation protocols</w:t>
            </w:r>
          </w:p>
        </w:tc>
      </w:tr>
      <w:tr>
        <w:tc>
          <w:tcPr>
            <w:tcW w:type="dxa" w:w="1440"/>
          </w:tcPr>
          <w:p>
            <w:r>
              <w:t>30-Day Readmission Rate</w:t>
            </w:r>
          </w:p>
        </w:tc>
        <w:tc>
          <w:tcPr>
            <w:tcW w:type="dxa" w:w="1440"/>
          </w:tcPr>
          <w:p>
            <w:r>
              <w:t>&lt; 4.5%</w:t>
            </w:r>
          </w:p>
        </w:tc>
        <w:tc>
          <w:tcPr>
            <w:tcW w:type="dxa" w:w="1440"/>
          </w:tcPr>
          <w:p>
            <w:r>
              <w:t>&lt; 6.0%</w:t>
            </w:r>
          </w:p>
        </w:tc>
        <w:tc>
          <w:tcPr>
            <w:tcW w:type="dxa" w:w="1440"/>
          </w:tcPr>
          <w:p>
            <w:r>
              <w:t>Monthly</w:t>
            </w:r>
          </w:p>
        </w:tc>
        <w:tc>
          <w:tcPr>
            <w:tcW w:type="dxa" w:w="1440"/>
          </w:tcPr>
          <w:p>
            <w:r>
              <w:t>Medical Director</w:t>
            </w:r>
          </w:p>
        </w:tc>
        <w:tc>
          <w:tcPr>
            <w:tcW w:type="dxa" w:w="1440"/>
          </w:tcPr>
          <w:p>
            <w:r>
              <w:t>Clinical pathway audit; community care review</w:t>
            </w:r>
          </w:p>
        </w:tc>
      </w:tr>
      <w:tr>
        <w:tc>
          <w:tcPr>
            <w:tcW w:type="dxa" w:w="1440"/>
          </w:tcPr>
          <w:p>
            <w:r>
              <w:t>Staff Turnover Rate (clinical)</w:t>
            </w:r>
          </w:p>
        </w:tc>
        <w:tc>
          <w:tcPr>
            <w:tcW w:type="dxa" w:w="1440"/>
          </w:tcPr>
          <w:p>
            <w:r>
              <w:t>&lt; 11% annually</w:t>
            </w:r>
          </w:p>
        </w:tc>
        <w:tc>
          <w:tcPr>
            <w:tcW w:type="dxa" w:w="1440"/>
          </w:tcPr>
          <w:p>
            <w:r>
              <w:t>&lt; 16%</w:t>
            </w:r>
          </w:p>
        </w:tc>
        <w:tc>
          <w:tcPr>
            <w:tcW w:type="dxa" w:w="1440"/>
          </w:tcPr>
          <w:p>
            <w:r>
              <w:t>Quarterly</w:t>
            </w:r>
          </w:p>
        </w:tc>
        <w:tc>
          <w:tcPr>
            <w:tcW w:type="dxa" w:w="1440"/>
          </w:tcPr>
          <w:p>
            <w:r>
              <w:t>HR Director</w:t>
            </w:r>
          </w:p>
        </w:tc>
        <w:tc>
          <w:tcPr>
            <w:tcW w:type="dxa" w:w="1440"/>
          </w:tcPr>
          <w:p>
            <w:r>
              <w:t>Retention programme; exit interview analysis</w:t>
            </w:r>
          </w:p>
        </w:tc>
      </w:tr>
      <w:tr>
        <w:tc>
          <w:tcPr>
            <w:tcW w:type="dxa" w:w="1440"/>
          </w:tcPr>
          <w:p>
            <w:r>
              <w:t>Surgery Cancellation Rate (on-day)</w:t>
            </w:r>
          </w:p>
        </w:tc>
        <w:tc>
          <w:tcPr>
            <w:tcW w:type="dxa" w:w="1440"/>
          </w:tcPr>
          <w:p>
            <w:r>
              <w:t>&lt; 2%</w:t>
            </w:r>
          </w:p>
        </w:tc>
        <w:tc>
          <w:tcPr>
            <w:tcW w:type="dxa" w:w="1440"/>
          </w:tcPr>
          <w:p>
            <w:r>
              <w:t>&lt; 4%</w:t>
            </w:r>
          </w:p>
        </w:tc>
        <w:tc>
          <w:tcPr>
            <w:tcW w:type="dxa" w:w="1440"/>
          </w:tcPr>
          <w:p>
            <w:r>
              <w:t>Monthly</w:t>
            </w:r>
          </w:p>
        </w:tc>
        <w:tc>
          <w:tcPr>
            <w:tcW w:type="dxa" w:w="1440"/>
          </w:tcPr>
          <w:p>
            <w:r>
              <w:t>Surgical Services Head</w:t>
            </w:r>
          </w:p>
        </w:tc>
        <w:tc>
          <w:tcPr>
            <w:tcW w:type="dxa" w:w="1440"/>
          </w:tcPr>
          <w:p>
            <w:r>
              <w:t>Theatre efficiency audit; pre-admission protocol review</w:t>
            </w:r>
          </w:p>
        </w:tc>
      </w:tr>
      <w:tr>
        <w:tc>
          <w:tcPr>
            <w:tcW w:type="dxa" w:w="1440"/>
          </w:tcPr>
          <w:p>
            <w:r>
              <w:t>Revenue Cycle Days (AR)</w:t>
            </w:r>
          </w:p>
        </w:tc>
        <w:tc>
          <w:tcPr>
            <w:tcW w:type="dxa" w:w="1440"/>
          </w:tcPr>
          <w:p>
            <w:r>
              <w:t>&lt; 45 days</w:t>
            </w:r>
          </w:p>
        </w:tc>
        <w:tc>
          <w:tcPr>
            <w:tcW w:type="dxa" w:w="1440"/>
          </w:tcPr>
          <w:p>
            <w:r>
              <w:t>&lt; 60 days</w:t>
            </w:r>
          </w:p>
        </w:tc>
        <w:tc>
          <w:tcPr>
            <w:tcW w:type="dxa" w:w="1440"/>
          </w:tcPr>
          <w:p>
            <w:r>
              <w:t>Monthly</w:t>
            </w:r>
          </w:p>
        </w:tc>
        <w:tc>
          <w:tcPr>
            <w:tcW w:type="dxa" w:w="1440"/>
          </w:tcPr>
          <w:p>
            <w:r>
              <w:t>Finance Controller</w:t>
            </w:r>
          </w:p>
        </w:tc>
        <w:tc>
          <w:tcPr>
            <w:tcW w:type="dxa" w:w="1440"/>
          </w:tcPr>
          <w:p>
            <w:r>
              <w:t>Billing audit; insurance follow-up process review</w:t>
            </w:r>
          </w:p>
        </w:tc>
      </w:tr>
      <w:tr>
        <w:tc>
          <w:tcPr>
            <w:tcW w:type="dxa" w:w="1440"/>
          </w:tcPr>
          <w:p>
            <w:r>
              <w:t>EBITDA Margin</w:t>
            </w:r>
          </w:p>
        </w:tc>
        <w:tc>
          <w:tcPr>
            <w:tcW w:type="dxa" w:w="1440"/>
          </w:tcPr>
          <w:p>
            <w:r>
              <w:t>22–28%</w:t>
            </w:r>
          </w:p>
        </w:tc>
        <w:tc>
          <w:tcPr>
            <w:tcW w:type="dxa" w:w="1440"/>
          </w:tcPr>
          <w:p>
            <w:r>
              <w:t>18%</w:t>
            </w:r>
          </w:p>
        </w:tc>
        <w:tc>
          <w:tcPr>
            <w:tcW w:type="dxa" w:w="1440"/>
          </w:tcPr>
          <w:p>
            <w:r>
              <w:t>Monthly</w:t>
            </w:r>
          </w:p>
        </w:tc>
        <w:tc>
          <w:tcPr>
            <w:tcW w:type="dxa" w:w="1440"/>
          </w:tcPr>
          <w:p>
            <w:r>
              <w:t>Group Finance</w:t>
            </w:r>
          </w:p>
        </w:tc>
        <w:tc>
          <w:tcPr>
            <w:tcW w:type="dxa" w:w="1440"/>
          </w:tcPr>
          <w:p>
            <w:r>
              <w:t>Financial review; cost containment plan</w:t>
            </w:r>
          </w:p>
        </w:tc>
      </w:tr>
    </w:tbl>
    <w:p>
      <w:r>
        <w:br w:type="page"/>
      </w:r>
    </w:p>
    <w:p>
      <w:pPr>
        <w:pStyle w:val="Heading1"/>
      </w:pPr>
      <w:r>
        <w:rPr>
          <w:color w:val="007B8A"/>
        </w:rPr>
        <w:t>SECTION 3: CLINICAL GOVERNANCE (POL-CLG-003)</w:t>
      </w:r>
    </w:p>
    <w:p>
      <w:pPr>
        <w:pStyle w:val="Heading2"/>
      </w:pPr>
      <w:r>
        <w:rPr>
          <w:color w:val="003050"/>
        </w:rPr>
        <w:t>3.1 Incident Classification &amp; Reporting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Level</w:t>
            </w:r>
          </w:p>
        </w:tc>
        <w:tc>
          <w:tcPr>
            <w:tcW w:type="dxa" w:w="1728"/>
          </w:tcPr>
          <w:p>
            <w:r>
              <w:rPr>
                <w:b/>
                <w:color w:val="FFFFFF"/>
              </w:rPr>
              <w:t>Classification</w:t>
            </w:r>
          </w:p>
        </w:tc>
        <w:tc>
          <w:tcPr>
            <w:tcW w:type="dxa" w:w="1728"/>
          </w:tcPr>
          <w:p>
            <w:r>
              <w:rPr>
                <w:b/>
                <w:color w:val="FFFFFF"/>
              </w:rPr>
              <w:t>Examples</w:t>
            </w:r>
          </w:p>
        </w:tc>
        <w:tc>
          <w:tcPr>
            <w:tcW w:type="dxa" w:w="1728"/>
          </w:tcPr>
          <w:p>
            <w:r>
              <w:rPr>
                <w:b/>
                <w:color w:val="FFFFFF"/>
              </w:rPr>
              <w:t>Reporting Timeline</w:t>
            </w:r>
          </w:p>
        </w:tc>
        <w:tc>
          <w:tcPr>
            <w:tcW w:type="dxa" w:w="1728"/>
          </w:tcPr>
          <w:p>
            <w:r>
              <w:rPr>
                <w:b/>
                <w:color w:val="FFFFFF"/>
              </w:rPr>
              <w:t>Board Notification</w:t>
            </w:r>
          </w:p>
        </w:tc>
      </w:tr>
      <w:tr>
        <w:tc>
          <w:tcPr>
            <w:tcW w:type="dxa" w:w="1728"/>
          </w:tcPr>
          <w:p>
            <w:r>
              <w:t>Level 1 — Near Miss</w:t>
            </w:r>
          </w:p>
        </w:tc>
        <w:tc>
          <w:tcPr>
            <w:tcW w:type="dxa" w:w="1728"/>
          </w:tcPr>
          <w:p>
            <w:r>
              <w:t>No patient harm; potential harm identified</w:t>
            </w:r>
          </w:p>
        </w:tc>
        <w:tc>
          <w:tcPr>
            <w:tcW w:type="dxa" w:w="1728"/>
          </w:tcPr>
          <w:p>
            <w:r>
              <w:t>Wrong drug prepared but not administered; labelling error caught</w:t>
            </w:r>
          </w:p>
        </w:tc>
        <w:tc>
          <w:tcPr>
            <w:tcW w:type="dxa" w:w="1728"/>
          </w:tcPr>
          <w:p>
            <w:r>
              <w:t>72 hours to Quality team</w:t>
            </w:r>
          </w:p>
        </w:tc>
        <w:tc>
          <w:tcPr>
            <w:tcW w:type="dxa" w:w="1728"/>
          </w:tcPr>
          <w:p>
            <w:r>
              <w:t>No</w:t>
            </w:r>
          </w:p>
        </w:tc>
      </w:tr>
      <w:tr>
        <w:tc>
          <w:tcPr>
            <w:tcW w:type="dxa" w:w="1728"/>
          </w:tcPr>
          <w:p>
            <w:r>
              <w:t>Level 2 — Minor</w:t>
            </w:r>
          </w:p>
        </w:tc>
        <w:tc>
          <w:tcPr>
            <w:tcW w:type="dxa" w:w="1728"/>
          </w:tcPr>
          <w:p>
            <w:r>
              <w:t>Temporary patient harm; no lasting effect</w:t>
            </w:r>
          </w:p>
        </w:tc>
        <w:tc>
          <w:tcPr>
            <w:tcW w:type="dxa" w:w="1728"/>
          </w:tcPr>
          <w:p>
            <w:r>
              <w:t>Medication delay; pressure injury Grade 1-2</w:t>
            </w:r>
          </w:p>
        </w:tc>
        <w:tc>
          <w:tcPr>
            <w:tcW w:type="dxa" w:w="1728"/>
          </w:tcPr>
          <w:p>
            <w:r>
              <w:t>24 hours to Medical Director</w:t>
            </w:r>
          </w:p>
        </w:tc>
        <w:tc>
          <w:tcPr>
            <w:tcW w:type="dxa" w:w="1728"/>
          </w:tcPr>
          <w:p>
            <w:r>
              <w:t>No</w:t>
            </w:r>
          </w:p>
        </w:tc>
      </w:tr>
      <w:tr>
        <w:tc>
          <w:tcPr>
            <w:tcW w:type="dxa" w:w="1728"/>
          </w:tcPr>
          <w:p>
            <w:r>
              <w:t>Level 3 — Moderate</w:t>
            </w:r>
          </w:p>
        </w:tc>
        <w:tc>
          <w:tcPr>
            <w:tcW w:type="dxa" w:w="1728"/>
          </w:tcPr>
          <w:p>
            <w:r>
              <w:t>Moderate patient harm; temporary disability or extended stay</w:t>
            </w:r>
          </w:p>
        </w:tc>
        <w:tc>
          <w:tcPr>
            <w:tcW w:type="dxa" w:w="1728"/>
          </w:tcPr>
          <w:p>
            <w:r>
              <w:t>Surgical site infection; wrong-site procedure discovered pre-incision</w:t>
            </w:r>
          </w:p>
        </w:tc>
        <w:tc>
          <w:tcPr>
            <w:tcW w:type="dxa" w:w="1728"/>
          </w:tcPr>
          <w:p>
            <w:r>
              <w:t>Immediate to CMO + Hospital CEO</w:t>
            </w:r>
          </w:p>
        </w:tc>
        <w:tc>
          <w:tcPr>
            <w:tcW w:type="dxa" w:w="1728"/>
          </w:tcPr>
          <w:p>
            <w:r>
              <w:t>Yes — within 48 hours</w:t>
            </w:r>
          </w:p>
        </w:tc>
      </w:tr>
      <w:tr>
        <w:tc>
          <w:tcPr>
            <w:tcW w:type="dxa" w:w="1728"/>
          </w:tcPr>
          <w:p>
            <w:r>
              <w:t>Level 4 — Severe / Sentinel</w:t>
            </w:r>
          </w:p>
        </w:tc>
        <w:tc>
          <w:tcPr>
            <w:tcW w:type="dxa" w:w="1728"/>
          </w:tcPr>
          <w:p>
            <w:r>
              <w:t>Permanent harm, unexpected death, or near-miss with catastrophic potential</w:t>
            </w:r>
          </w:p>
        </w:tc>
        <w:tc>
          <w:tcPr>
            <w:tcW w:type="dxa" w:w="1728"/>
          </w:tcPr>
          <w:p>
            <w:r>
              <w:t>Wrong patient surgery; retained surgical item; maternal death</w:t>
            </w:r>
          </w:p>
        </w:tc>
        <w:tc>
          <w:tcPr>
            <w:tcW w:type="dxa" w:w="1728"/>
          </w:tcPr>
          <w:p>
            <w:r>
              <w:t>Immediate (&lt;2 hours) to Group CMO + CEO</w:t>
            </w:r>
          </w:p>
        </w:tc>
        <w:tc>
          <w:tcPr>
            <w:tcW w:type="dxa" w:w="1728"/>
          </w:tcPr>
          <w:p>
            <w:r>
              <w:t>Yes — within 24 hours</w:t>
            </w:r>
          </w:p>
        </w:tc>
      </w:tr>
    </w:tbl>
    <w:p>
      <w:pPr>
        <w:pStyle w:val="Heading2"/>
      </w:pPr>
      <w:r>
        <w:rPr>
          <w:color w:val="003050"/>
        </w:rPr>
        <w:t>3.2 Root Cause Analysis (RCA)</w:t>
      </w:r>
    </w:p>
    <w:p>
      <w:r>
        <w:rPr>
          <w:sz w:val="22"/>
        </w:rPr>
        <w:t>All Level 3 and Level 4 incidents require a formal RCA within 14 days of occurrence. RCA must use the Contoso 5-Whys + Fishbone methodology. Findings must be presented to Hospital Clinical Governance Committee and shared (de-identified) with all hospitals in the group for learning dissemination. Corrective action plans must be tracked monthly until closure.</w:t>
      </w:r>
    </w:p>
    <w:p>
      <w:pPr>
        <w:pStyle w:val="Heading2"/>
      </w:pPr>
      <w:r>
        <w:rPr>
          <w:color w:val="003050"/>
        </w:rPr>
        <w:t>3.3 Credentialing &amp; Privileging</w:t>
      </w:r>
    </w:p>
    <w:p>
      <w:r>
        <w:rPr>
          <w:sz w:val="22"/>
        </w:rPr>
        <w:t>All new medical staff must complete Contoso Credentialing Assessment before clinical practice. Primary source verification required for all qualifications, medical registration, and professional indemnity insurance. Renewal: every 3 years or on change of scope of practice. Privileging scope must be reviewed at Annual Medical Staff Assessment. Visiting consultants: temporary privileges valid maximum 12 months; full credentials required.</w:t>
      </w:r>
    </w:p>
    <w:p>
      <w:r>
        <w:br w:type="page"/>
      </w:r>
    </w:p>
    <w:p>
      <w:pPr>
        <w:pStyle w:val="Heading1"/>
      </w:pPr>
      <w:r>
        <w:rPr>
          <w:color w:val="007B8A"/>
        </w:rPr>
        <w:t>SECTION 4: SUSTAINABILITY &amp; ESG COMMITMENTS (POL-ESG-004)</w:t>
      </w:r>
    </w:p>
    <w:p>
      <w:pPr>
        <w:pStyle w:val="Heading2"/>
      </w:pPr>
      <w:r>
        <w:rPr>
          <w:color w:val="003050"/>
        </w:rPr>
        <w:t>4.1 Environmental Targets — Global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Target Area</w:t>
            </w:r>
          </w:p>
        </w:tc>
        <w:tc>
          <w:tcPr>
            <w:tcW w:type="dxa" w:w="1728"/>
          </w:tcPr>
          <w:p>
            <w:r>
              <w:rPr>
                <w:b/>
                <w:color w:val="FFFFFF"/>
              </w:rPr>
              <w:t>2026 Interim Target</w:t>
            </w:r>
          </w:p>
        </w:tc>
        <w:tc>
          <w:tcPr>
            <w:tcW w:type="dxa" w:w="1728"/>
          </w:tcPr>
          <w:p>
            <w:r>
              <w:rPr>
                <w:b/>
                <w:color w:val="FFFFFF"/>
              </w:rPr>
              <w:t>2030 Target</w:t>
            </w:r>
          </w:p>
        </w:tc>
        <w:tc>
          <w:tcPr>
            <w:tcW w:type="dxa" w:w="1728"/>
          </w:tcPr>
          <w:p>
            <w:r>
              <w:rPr>
                <w:b/>
                <w:color w:val="FFFFFF"/>
              </w:rPr>
              <w:t>2050 Commitment</w:t>
            </w:r>
          </w:p>
        </w:tc>
        <w:tc>
          <w:tcPr>
            <w:tcW w:type="dxa" w:w="1728"/>
          </w:tcPr>
          <w:p>
            <w:r>
              <w:rPr>
                <w:b/>
                <w:color w:val="FFFFFF"/>
              </w:rPr>
              <w:t>Framework Alignment</w:t>
            </w:r>
          </w:p>
        </w:tc>
      </w:tr>
      <w:tr>
        <w:tc>
          <w:tcPr>
            <w:tcW w:type="dxa" w:w="1728"/>
          </w:tcPr>
          <w:p>
            <w:r>
              <w:t>Carbon (Scope 1+2)</w:t>
            </w:r>
          </w:p>
        </w:tc>
        <w:tc>
          <w:tcPr>
            <w:tcW w:type="dxa" w:w="1728"/>
          </w:tcPr>
          <w:p>
            <w:r>
              <w:t>15% reduction vs 2022</w:t>
            </w:r>
          </w:p>
        </w:tc>
        <w:tc>
          <w:tcPr>
            <w:tcW w:type="dxa" w:w="1728"/>
          </w:tcPr>
          <w:p>
            <w:r>
              <w:t>35% reduction vs 2022</w:t>
            </w:r>
          </w:p>
        </w:tc>
        <w:tc>
          <w:tcPr>
            <w:tcW w:type="dxa" w:w="1728"/>
          </w:tcPr>
          <w:p>
            <w:r>
              <w:t>Net Zero</w:t>
            </w:r>
          </w:p>
        </w:tc>
        <w:tc>
          <w:tcPr>
            <w:tcW w:type="dxa" w:w="1728"/>
          </w:tcPr>
          <w:p>
            <w:r>
              <w:t>Science Based Targets initiative (SBTi)</w:t>
            </w:r>
          </w:p>
        </w:tc>
      </w:tr>
      <w:tr>
        <w:tc>
          <w:tcPr>
            <w:tcW w:type="dxa" w:w="1728"/>
          </w:tcPr>
          <w:p>
            <w:r>
              <w:t>Carbon (Scope 3)</w:t>
            </w:r>
          </w:p>
        </w:tc>
        <w:tc>
          <w:tcPr>
            <w:tcW w:type="dxa" w:w="1728"/>
          </w:tcPr>
          <w:p>
            <w:r>
              <w:t>Measurement &amp; baseline only</w:t>
            </w:r>
          </w:p>
        </w:tc>
        <w:tc>
          <w:tcPr>
            <w:tcW w:type="dxa" w:w="1728"/>
          </w:tcPr>
          <w:p>
            <w:r>
              <w:t>20% reduction vs 2025</w:t>
            </w:r>
          </w:p>
        </w:tc>
        <w:tc>
          <w:tcPr>
            <w:tcW w:type="dxa" w:w="1728"/>
          </w:tcPr>
          <w:p>
            <w:r>
              <w:t>Net Zero</w:t>
            </w:r>
          </w:p>
        </w:tc>
        <w:tc>
          <w:tcPr>
            <w:tcW w:type="dxa" w:w="1728"/>
          </w:tcPr>
          <w:p>
            <w:r>
              <w:t>SBTi Scope 3 pathway</w:t>
            </w:r>
          </w:p>
        </w:tc>
      </w:tr>
      <w:tr>
        <w:tc>
          <w:tcPr>
            <w:tcW w:type="dxa" w:w="1728"/>
          </w:tcPr>
          <w:p>
            <w:r>
              <w:t>Renewable Energy</w:t>
            </w:r>
          </w:p>
        </w:tc>
        <w:tc>
          <w:tcPr>
            <w:tcW w:type="dxa" w:w="1728"/>
          </w:tcPr>
          <w:p>
            <w:r>
              <w:t>20% of total consumption</w:t>
            </w:r>
          </w:p>
        </w:tc>
        <w:tc>
          <w:tcPr>
            <w:tcW w:type="dxa" w:w="1728"/>
          </w:tcPr>
          <w:p>
            <w:r>
              <w:t>50% of total consumption</w:t>
            </w:r>
          </w:p>
        </w:tc>
        <w:tc>
          <w:tcPr>
            <w:tcW w:type="dxa" w:w="1728"/>
          </w:tcPr>
          <w:p>
            <w:r>
              <w:t>100% renewable</w:t>
            </w:r>
          </w:p>
        </w:tc>
        <w:tc>
          <w:tcPr>
            <w:tcW w:type="dxa" w:w="1728"/>
          </w:tcPr>
          <w:p>
            <w:r>
              <w:t>RE100 (target member)</w:t>
            </w:r>
          </w:p>
        </w:tc>
      </w:tr>
      <w:tr>
        <w:tc>
          <w:tcPr>
            <w:tcW w:type="dxa" w:w="1728"/>
          </w:tcPr>
          <w:p>
            <w:r>
              <w:t>Water Intensity</w:t>
            </w:r>
          </w:p>
        </w:tc>
        <w:tc>
          <w:tcPr>
            <w:tcW w:type="dxa" w:w="1728"/>
          </w:tcPr>
          <w:p>
            <w:r>
              <w:t>10% reduction per bed-day vs 2022</w:t>
            </w:r>
          </w:p>
        </w:tc>
        <w:tc>
          <w:tcPr>
            <w:tcW w:type="dxa" w:w="1728"/>
          </w:tcPr>
          <w:p>
            <w:r>
              <w:t>25% reduction vs 2022</w:t>
            </w:r>
          </w:p>
        </w:tc>
        <w:tc>
          <w:tcPr>
            <w:tcW w:type="dxa" w:w="1728"/>
          </w:tcPr>
          <w:p>
            <w:r>
              <w:t>Best-in-class healthcare benchmark</w:t>
            </w:r>
          </w:p>
        </w:tc>
        <w:tc>
          <w:tcPr>
            <w:tcW w:type="dxa" w:w="1728"/>
          </w:tcPr>
          <w:p>
            <w:r>
              <w:t>UN CEO Water Mandate</w:t>
            </w:r>
          </w:p>
        </w:tc>
      </w:tr>
      <w:tr>
        <w:tc>
          <w:tcPr>
            <w:tcW w:type="dxa" w:w="1728"/>
          </w:tcPr>
          <w:p>
            <w:r>
              <w:t>Clinical Waste</w:t>
            </w:r>
          </w:p>
        </w:tc>
        <w:tc>
          <w:tcPr>
            <w:tcW w:type="dxa" w:w="1728"/>
          </w:tcPr>
          <w:p>
            <w:r>
              <w:t>15% reduction in generation</w:t>
            </w:r>
          </w:p>
        </w:tc>
        <w:tc>
          <w:tcPr>
            <w:tcW w:type="dxa" w:w="1728"/>
          </w:tcPr>
          <w:p>
            <w:r>
              <w:t>40% reduction; zero single-use plastics</w:t>
            </w:r>
          </w:p>
        </w:tc>
        <w:tc>
          <w:tcPr>
            <w:tcW w:type="dxa" w:w="1728"/>
          </w:tcPr>
          <w:p>
            <w:r>
              <w:t>Zero clinical waste to landfill</w:t>
            </w:r>
          </w:p>
        </w:tc>
        <w:tc>
          <w:tcPr>
            <w:tcW w:type="dxa" w:w="1728"/>
          </w:tcPr>
          <w:p>
            <w:r>
              <w:t>WHO Healthcare Waste Mgmt</w:t>
            </w:r>
          </w:p>
        </w:tc>
      </w:tr>
      <w:tr>
        <w:tc>
          <w:tcPr>
            <w:tcW w:type="dxa" w:w="1728"/>
          </w:tcPr>
          <w:p>
            <w:r>
              <w:t>Green Buildings</w:t>
            </w:r>
          </w:p>
        </w:tc>
        <w:tc>
          <w:tcPr>
            <w:tcW w:type="dxa" w:w="1728"/>
          </w:tcPr>
          <w:p>
            <w:r>
              <w:t>All new facilities Green Mark Gold or equiv.</w:t>
            </w:r>
          </w:p>
        </w:tc>
        <w:tc>
          <w:tcPr>
            <w:tcW w:type="dxa" w:w="1728"/>
          </w:tcPr>
          <w:p>
            <w:r>
              <w:t>All facilities Green Mark certified</w:t>
            </w:r>
          </w:p>
        </w:tc>
        <w:tc>
          <w:tcPr>
            <w:tcW w:type="dxa" w:w="1728"/>
          </w:tcPr>
          <w:p>
            <w:r>
              <w:t>Net Zero Carbon buildings</w:t>
            </w:r>
          </w:p>
        </w:tc>
        <w:tc>
          <w:tcPr>
            <w:tcW w:type="dxa" w:w="1728"/>
          </w:tcPr>
          <w:p>
            <w:r>
              <w:t>BREEAM / Green Mark / LEED</w:t>
            </w:r>
          </w:p>
        </w:tc>
      </w:tr>
    </w:tbl>
    <w:p>
      <w:pPr>
        <w:pStyle w:val="Heading2"/>
      </w:pPr>
      <w:r>
        <w:rPr>
          <w:color w:val="003050"/>
        </w:rPr>
        <w:t>4.2 ESG Reporting Requirements</w:t>
      </w:r>
    </w:p>
    <w:p>
      <w:r>
        <w:rPr>
          <w:sz w:val="22"/>
        </w:rPr>
        <w:t>Monthly: Hospital-level Scope 1 and 2 data submitted to Group Sustainability by 15th of following month. Quarterly: ESG performance vs targets reviewed by Group Sustainability Committee. Annual: Sustainability Report (GRI Standards: Core) published within 4 months of financial year end. External assurance (limited): Scope 1 and 2 data, independently assured from FY2026. Scope 3 baseline to be completed by end FY2026.</w:t>
      </w:r>
    </w:p>
    <w:p>
      <w:r>
        <w:br w:type="page"/>
      </w:r>
    </w:p>
    <w:p>
      <w:pPr>
        <w:pStyle w:val="Heading1"/>
      </w:pPr>
      <w:r>
        <w:rPr>
          <w:color w:val="007B8A"/>
        </w:rPr>
        <w:t>SECTION 5: COMMUNICATIONS &amp; BRAND GOVERNANCE (POL-COMMS-005)</w:t>
      </w:r>
    </w:p>
    <w:p>
      <w:pPr>
        <w:pStyle w:val="Heading2"/>
      </w:pPr>
      <w:r>
        <w:rPr>
          <w:color w:val="003050"/>
        </w:rPr>
        <w:t>5.1 External Communications Approval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FFFFFF"/>
              </w:rPr>
              <w:t>Communication Type</w:t>
            </w:r>
          </w:p>
        </w:tc>
        <w:tc>
          <w:tcPr>
            <w:tcW w:type="dxa" w:w="2160"/>
          </w:tcPr>
          <w:p>
            <w:r>
              <w:rPr>
                <w:b/>
                <w:color w:val="FFFFFF"/>
              </w:rPr>
              <w:t>Approver</w:t>
            </w:r>
          </w:p>
        </w:tc>
        <w:tc>
          <w:tcPr>
            <w:tcW w:type="dxa" w:w="2160"/>
          </w:tcPr>
          <w:p>
            <w:r>
              <w:rPr>
                <w:b/>
                <w:color w:val="FFFFFF"/>
              </w:rPr>
              <w:t>Turnaround</w:t>
            </w:r>
          </w:p>
        </w:tc>
        <w:tc>
          <w:tcPr>
            <w:tcW w:type="dxa" w:w="2160"/>
          </w:tcPr>
          <w:p>
            <w:r>
              <w:rPr>
                <w:b/>
                <w:color w:val="FFFFFF"/>
              </w:rPr>
              <w:t>Exceptions</w:t>
            </w:r>
          </w:p>
        </w:tc>
      </w:tr>
      <w:tr>
        <w:tc>
          <w:tcPr>
            <w:tcW w:type="dxa" w:w="2160"/>
          </w:tcPr>
          <w:p>
            <w:r>
              <w:t>Press release / media statement</w:t>
            </w:r>
          </w:p>
        </w:tc>
        <w:tc>
          <w:tcPr>
            <w:tcW w:type="dxa" w:w="2160"/>
          </w:tcPr>
          <w:p>
            <w:r>
              <w:t>Group Comms Director</w:t>
            </w:r>
          </w:p>
        </w:tc>
        <w:tc>
          <w:tcPr>
            <w:tcW w:type="dxa" w:w="2160"/>
          </w:tcPr>
          <w:p>
            <w:r>
              <w:t>48 hours standard; 4 hours urgent</w:t>
            </w:r>
          </w:p>
        </w:tc>
        <w:tc>
          <w:tcPr>
            <w:tcW w:type="dxa" w:w="2160"/>
          </w:tcPr>
          <w:p>
            <w:r>
              <w:t>CEO approval for urgent</w:t>
            </w:r>
          </w:p>
        </w:tc>
      </w:tr>
      <w:tr>
        <w:tc>
          <w:tcPr>
            <w:tcW w:type="dxa" w:w="2160"/>
          </w:tcPr>
          <w:p>
            <w:r>
              <w:t>Investor / analyst communications</w:t>
            </w:r>
          </w:p>
        </w:tc>
        <w:tc>
          <w:tcPr>
            <w:tcW w:type="dxa" w:w="2160"/>
          </w:tcPr>
          <w:p>
            <w:r>
              <w:t>Group CFO + IR Team</w:t>
            </w:r>
          </w:p>
        </w:tc>
        <w:tc>
          <w:tcPr>
            <w:tcW w:type="dxa" w:w="2160"/>
          </w:tcPr>
          <w:p>
            <w:r>
              <w:t>48 hours; 24 hours pre-results period</w:t>
            </w:r>
          </w:p>
        </w:tc>
        <w:tc>
          <w:tcPr>
            <w:tcW w:type="dxa" w:w="2160"/>
          </w:tcPr>
          <w:p>
            <w:r>
              <w:t>None — always requires CFO sign-off</w:t>
            </w:r>
          </w:p>
        </w:tc>
      </w:tr>
      <w:tr>
        <w:tc>
          <w:tcPr>
            <w:tcW w:type="dxa" w:w="2160"/>
          </w:tcPr>
          <w:p>
            <w:r>
              <w:t>Social media post (hospital accounts)</w:t>
            </w:r>
          </w:p>
        </w:tc>
        <w:tc>
          <w:tcPr>
            <w:tcW w:type="dxa" w:w="2160"/>
          </w:tcPr>
          <w:p>
            <w:r>
              <w:t>Hospital Comms Manager</w:t>
            </w:r>
          </w:p>
        </w:tc>
        <w:tc>
          <w:tcPr>
            <w:tcW w:type="dxa" w:w="2160"/>
          </w:tcPr>
          <w:p>
            <w:r>
              <w:t>Immediate for evergreen; 24h for sensitive</w:t>
            </w:r>
          </w:p>
        </w:tc>
        <w:tc>
          <w:tcPr>
            <w:tcW w:type="dxa" w:w="2160"/>
          </w:tcPr>
          <w:p>
            <w:r>
              <w:t>Clinical claims: Medical Director sign-off</w:t>
            </w:r>
          </w:p>
        </w:tc>
      </w:tr>
      <w:tr>
        <w:tc>
          <w:tcPr>
            <w:tcW w:type="dxa" w:w="2160"/>
          </w:tcPr>
          <w:p>
            <w:r>
              <w:t>Social media post (corporate @Contoso)</w:t>
            </w:r>
          </w:p>
        </w:tc>
        <w:tc>
          <w:tcPr>
            <w:tcW w:type="dxa" w:w="2160"/>
          </w:tcPr>
          <w:p>
            <w:r>
              <w:t>Group Comms Director</w:t>
            </w:r>
          </w:p>
        </w:tc>
        <w:tc>
          <w:tcPr>
            <w:tcW w:type="dxa" w:w="2160"/>
          </w:tcPr>
          <w:p>
            <w:r>
              <w:t>24 hours</w:t>
            </w:r>
          </w:p>
        </w:tc>
        <w:tc>
          <w:tcPr>
            <w:tcW w:type="dxa" w:w="2160"/>
          </w:tcPr>
          <w:p>
            <w:r>
              <w:t>None</w:t>
            </w:r>
          </w:p>
        </w:tc>
      </w:tr>
      <w:tr>
        <w:tc>
          <w:tcPr>
            <w:tcW w:type="dxa" w:w="2160"/>
          </w:tcPr>
          <w:p>
            <w:r>
              <w:t>Media interview (hospital CEO/doctors)</w:t>
            </w:r>
          </w:p>
        </w:tc>
        <w:tc>
          <w:tcPr>
            <w:tcW w:type="dxa" w:w="2160"/>
          </w:tcPr>
          <w:p>
            <w:r>
              <w:t>Hospital CEO + Group Comms</w:t>
            </w:r>
          </w:p>
        </w:tc>
        <w:tc>
          <w:tcPr>
            <w:tcW w:type="dxa" w:w="2160"/>
          </w:tcPr>
          <w:p>
            <w:r>
              <w:t>48 hours pre-briefing</w:t>
            </w:r>
          </w:p>
        </w:tc>
        <w:tc>
          <w:tcPr>
            <w:tcW w:type="dxa" w:w="2160"/>
          </w:tcPr>
          <w:p>
            <w:r>
              <w:t>Crisis: CEO + Legal</w:t>
            </w:r>
          </w:p>
        </w:tc>
      </w:tr>
      <w:tr>
        <w:tc>
          <w:tcPr>
            <w:tcW w:type="dxa" w:w="2160"/>
          </w:tcPr>
          <w:p>
            <w:r>
              <w:t>Crisis statement</w:t>
            </w:r>
          </w:p>
        </w:tc>
        <w:tc>
          <w:tcPr>
            <w:tcW w:type="dxa" w:w="2160"/>
          </w:tcPr>
          <w:p>
            <w:r>
              <w:t>Group CEO + Group Legal + Group Comms</w:t>
            </w:r>
          </w:p>
        </w:tc>
        <w:tc>
          <w:tcPr>
            <w:tcW w:type="dxa" w:w="2160"/>
          </w:tcPr>
          <w:p>
            <w:r>
              <w:t>&lt; 2 hours</w:t>
            </w:r>
          </w:p>
        </w:tc>
        <w:tc>
          <w:tcPr>
            <w:tcW w:type="dxa" w:w="2160"/>
          </w:tcPr>
          <w:p>
            <w:r>
              <w:t>None — always Group level</w:t>
            </w:r>
          </w:p>
        </w:tc>
      </w:tr>
      <w:tr>
        <w:tc>
          <w:tcPr>
            <w:tcW w:type="dxa" w:w="2160"/>
          </w:tcPr>
          <w:p>
            <w:r>
              <w:t>Clinical outcome claims (any channel)</w:t>
            </w:r>
          </w:p>
        </w:tc>
        <w:tc>
          <w:tcPr>
            <w:tcW w:type="dxa" w:w="2160"/>
          </w:tcPr>
          <w:p>
            <w:r>
              <w:t>Group CMO + Group Comms + Legal</w:t>
            </w:r>
          </w:p>
        </w:tc>
        <w:tc>
          <w:tcPr>
            <w:tcW w:type="dxa" w:w="2160"/>
          </w:tcPr>
          <w:p>
            <w:r>
              <w:t>72 hours</w:t>
            </w:r>
          </w:p>
        </w:tc>
        <w:tc>
          <w:tcPr>
            <w:tcW w:type="dxa" w:w="2160"/>
          </w:tcPr>
          <w:p>
            <w:r>
              <w:t>None — mandatory review</w:t>
            </w:r>
          </w:p>
        </w:tc>
      </w:tr>
    </w:tbl>
    <w:p>
      <w:pPr>
        <w:pStyle w:val="Heading2"/>
      </w:pPr>
      <w:r>
        <w:rPr>
          <w:color w:val="003050"/>
        </w:rPr>
        <w:t>5.2 Crisis Communications Protocol</w:t>
      </w:r>
    </w:p>
    <w:p>
      <w:r>
        <w:rPr>
          <w:sz w:val="22"/>
        </w:rPr>
        <w:t>Trigger criteria for Crisis protocol activation: patient safety event with media interest; data breach; regulatory enforcement action; major operational disruption. Activation: Group Comms Director alerts Crisis Communications Team within 30 minutes of trigger. First response holding statement within 2 hours. Full statement within 24 hours. Never: speculate, blame, or disclose unconfirmed patient information.</w:t>
      </w:r>
    </w:p>
    <w:p>
      <w:r>
        <w:br w:type="page"/>
      </w:r>
    </w:p>
    <w:p>
      <w:pPr>
        <w:pStyle w:val="Heading1"/>
      </w:pPr>
      <w:r>
        <w:rPr>
          <w:color w:val="007B8A"/>
        </w:rPr>
        <w:t>SECTION 6: HUMAN CAPITAL &amp; PERFORMANCE REVIEW (POL-HR-006)</w:t>
      </w:r>
    </w:p>
    <w:p>
      <w:pPr>
        <w:pStyle w:val="Heading2"/>
      </w:pPr>
      <w:r>
        <w:rPr>
          <w:color w:val="003050"/>
        </w:rPr>
        <w:t>6.1 Performance Review Cycle</w:t>
      </w:r>
    </w:p>
    <w:p>
      <w:r>
        <w:rPr>
          <w:sz w:val="22"/>
        </w:rPr>
        <w:t>Bi-annual reviews: Mid-Year (July) and Year-End (January). All permanent employees Grade 3 and above. Objective-setting: April annually. Review completed: July 31 (mid-year), January 31 (year-end). Calibration sessions: August and February. Final ratings communicated: August 15 and February 15.</w:t>
      </w:r>
    </w:p>
    <w:p>
      <w:pPr>
        <w:pStyle w:val="Heading2"/>
      </w:pPr>
      <w:r>
        <w:rPr>
          <w:color w:val="003050"/>
        </w:rPr>
        <w:t>6.2 Performance Rating Scale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Rating</w:t>
            </w:r>
          </w:p>
        </w:tc>
        <w:tc>
          <w:tcPr>
            <w:tcW w:type="dxa" w:w="1728"/>
          </w:tcPr>
          <w:p>
            <w:r>
              <w:rPr>
                <w:b/>
                <w:color w:val="FFFFFF"/>
              </w:rPr>
              <w:t>Label</w:t>
            </w:r>
          </w:p>
        </w:tc>
        <w:tc>
          <w:tcPr>
            <w:tcW w:type="dxa" w:w="1728"/>
          </w:tcPr>
          <w:p>
            <w:r>
              <w:rPr>
                <w:b/>
                <w:color w:val="FFFFFF"/>
              </w:rPr>
              <w:t>Criteria</w:t>
            </w:r>
          </w:p>
        </w:tc>
        <w:tc>
          <w:tcPr>
            <w:tcW w:type="dxa" w:w="1728"/>
          </w:tcPr>
          <w:p>
            <w:r>
              <w:rPr>
                <w:b/>
                <w:color w:val="FFFFFF"/>
              </w:rPr>
              <w:t>Increment Range</w:t>
            </w:r>
          </w:p>
        </w:tc>
        <w:tc>
          <w:tcPr>
            <w:tcW w:type="dxa" w:w="1728"/>
          </w:tcPr>
          <w:p>
            <w:r>
              <w:rPr>
                <w:b/>
                <w:color w:val="FFFFFF"/>
              </w:rPr>
              <w:t>Additional Recognition</w:t>
            </w:r>
          </w:p>
        </w:tc>
      </w:tr>
      <w:tr>
        <w:tc>
          <w:tcPr>
            <w:tcW w:type="dxa" w:w="1728"/>
          </w:tcPr>
          <w:p>
            <w:r>
              <w:t>5</w:t>
            </w:r>
          </w:p>
        </w:tc>
        <w:tc>
          <w:tcPr>
            <w:tcW w:type="dxa" w:w="1728"/>
          </w:tcPr>
          <w:p>
            <w:r>
              <w:t>Exceptional</w:t>
            </w:r>
          </w:p>
        </w:tc>
        <w:tc>
          <w:tcPr>
            <w:tcW w:type="dxa" w:w="1728"/>
          </w:tcPr>
          <w:p>
            <w:r>
              <w:t>Significantly exceeded all objectives; clear role model; exceptional contribution recognised by peers and leadership</w:t>
            </w:r>
          </w:p>
        </w:tc>
        <w:tc>
          <w:tcPr>
            <w:tcW w:type="dxa" w:w="1728"/>
          </w:tcPr>
          <w:p>
            <w:r>
              <w:t>10–15% merit increment</w:t>
            </w:r>
          </w:p>
        </w:tc>
        <w:tc>
          <w:tcPr>
            <w:tcW w:type="dxa" w:w="1728"/>
          </w:tcPr>
          <w:p>
            <w:r>
              <w:t>Talent Spotlight programme; accelerated development</w:t>
            </w:r>
          </w:p>
        </w:tc>
      </w:tr>
      <w:tr>
        <w:tc>
          <w:tcPr>
            <w:tcW w:type="dxa" w:w="1728"/>
          </w:tcPr>
          <w:p>
            <w:r>
              <w:t>4</w:t>
            </w:r>
          </w:p>
        </w:tc>
        <w:tc>
          <w:tcPr>
            <w:tcW w:type="dxa" w:w="1728"/>
          </w:tcPr>
          <w:p>
            <w:r>
              <w:t>Exceeds Expectations</w:t>
            </w:r>
          </w:p>
        </w:tc>
        <w:tc>
          <w:tcPr>
            <w:tcW w:type="dxa" w:w="1728"/>
          </w:tcPr>
          <w:p>
            <w:r>
              <w:t>Exceeded most objectives; strong contributor; demonstrated Contoso Leadership Behaviours</w:t>
            </w:r>
          </w:p>
        </w:tc>
        <w:tc>
          <w:tcPr>
            <w:tcW w:type="dxa" w:w="1728"/>
          </w:tcPr>
          <w:p>
            <w:r>
              <w:t>6–10% merit increment</w:t>
            </w:r>
          </w:p>
        </w:tc>
        <w:tc>
          <w:tcPr>
            <w:tcW w:type="dxa" w:w="1728"/>
          </w:tcPr>
          <w:p>
            <w:r>
              <w:t>Considered for stretch role or fast-track development</w:t>
            </w:r>
          </w:p>
        </w:tc>
      </w:tr>
      <w:tr>
        <w:tc>
          <w:tcPr>
            <w:tcW w:type="dxa" w:w="1728"/>
          </w:tcPr>
          <w:p>
            <w:r>
              <w:t>3</w:t>
            </w:r>
          </w:p>
        </w:tc>
        <w:tc>
          <w:tcPr>
            <w:tcW w:type="dxa" w:w="1728"/>
          </w:tcPr>
          <w:p>
            <w:r>
              <w:t>Meets Expectations</w:t>
            </w:r>
          </w:p>
        </w:tc>
        <w:tc>
          <w:tcPr>
            <w:tcW w:type="dxa" w:w="1728"/>
          </w:tcPr>
          <w:p>
            <w:r>
              <w:t>Achieved all core objectives satisfactorily; reliable performer</w:t>
            </w:r>
          </w:p>
        </w:tc>
        <w:tc>
          <w:tcPr>
            <w:tcW w:type="dxa" w:w="1728"/>
          </w:tcPr>
          <w:p>
            <w:r>
              <w:t>3–6% merit increment</w:t>
            </w:r>
          </w:p>
        </w:tc>
        <w:tc>
          <w:tcPr>
            <w:tcW w:type="dxa" w:w="1728"/>
          </w:tcPr>
          <w:p>
            <w:r>
              <w:t>Standard development plan</w:t>
            </w:r>
          </w:p>
        </w:tc>
      </w:tr>
      <w:tr>
        <w:tc>
          <w:tcPr>
            <w:tcW w:type="dxa" w:w="1728"/>
          </w:tcPr>
          <w:p>
            <w:r>
              <w:t>2</w:t>
            </w:r>
          </w:p>
        </w:tc>
        <w:tc>
          <w:tcPr>
            <w:tcW w:type="dxa" w:w="1728"/>
          </w:tcPr>
          <w:p>
            <w:r>
              <w:t>Partially Meets</w:t>
            </w:r>
          </w:p>
        </w:tc>
        <w:tc>
          <w:tcPr>
            <w:tcW w:type="dxa" w:w="1728"/>
          </w:tcPr>
          <w:p>
            <w:r>
              <w:t>Some objectives met; clear improvement areas identified; PIP required</w:t>
            </w:r>
          </w:p>
        </w:tc>
        <w:tc>
          <w:tcPr>
            <w:tcW w:type="dxa" w:w="1728"/>
          </w:tcPr>
          <w:p>
            <w:r>
              <w:t>0–2% increment only</w:t>
            </w:r>
          </w:p>
        </w:tc>
        <w:tc>
          <w:tcPr>
            <w:tcW w:type="dxa" w:w="1728"/>
          </w:tcPr>
          <w:p>
            <w:r>
              <w:t>Performance Improvement Plan; 90-day review</w:t>
            </w:r>
          </w:p>
        </w:tc>
      </w:tr>
      <w:tr>
        <w:tc>
          <w:tcPr>
            <w:tcW w:type="dxa" w:w="1728"/>
          </w:tcPr>
          <w:p>
            <w:r>
              <w:t>1</w:t>
            </w:r>
          </w:p>
        </w:tc>
        <w:tc>
          <w:tcPr>
            <w:tcW w:type="dxa" w:w="1728"/>
          </w:tcPr>
          <w:p>
            <w:r>
              <w:t>Does Not Meet</w:t>
            </w:r>
          </w:p>
        </w:tc>
        <w:tc>
          <w:tcPr>
            <w:tcW w:type="dxa" w:w="1728"/>
          </w:tcPr>
          <w:p>
            <w:r>
              <w:t>Significant gaps; objectives substantially unmet</w:t>
            </w:r>
          </w:p>
        </w:tc>
        <w:tc>
          <w:tcPr>
            <w:tcW w:type="dxa" w:w="1728"/>
          </w:tcPr>
          <w:p>
            <w:r>
              <w:t>No increment</w:t>
            </w:r>
          </w:p>
        </w:tc>
        <w:tc>
          <w:tcPr>
            <w:tcW w:type="dxa" w:w="1728"/>
          </w:tcPr>
          <w:p>
            <w:r>
              <w:t>Formal HR process; may lead to disciplinary review</w:t>
            </w:r>
          </w:p>
        </w:tc>
      </w:tr>
    </w:tbl>
    <w:p>
      <w:r>
        <w:rPr>
          <w:sz w:val="22"/>
        </w:rPr>
        <w:t>Calibration requirements: Rating 5 must not exceed 10% of any department. Rating 1 or 2 must be documented with specific behavioural evidence and co-signed by HR Business Partner. Across-the-board ratings of 3 without genuine differentiation will be rejected by Group HR.</w:t>
      </w:r>
    </w:p>
    <w:p>
      <w:pPr>
        <w:pStyle w:val="Heading2"/>
      </w:pPr>
      <w:r>
        <w:rPr>
          <w:color w:val="003050"/>
        </w:rPr>
        <w:t>6.3 Learning &amp; Development Minimum Requirements</w:t>
      </w:r>
    </w:p>
    <w:p>
      <w:r>
        <w:rPr>
          <w:sz w:val="22"/>
        </w:rPr>
        <w:t>All employees: minimum 20 hours structured learning per year. Clinical staff: minimum 30 hours CPD (aligned to professional body requirements). Leaders (Grade 7+): minimum 1 leadership development programme per year. Mandatory training: Compliance (PDPA/data protection), Anti-Bribery &amp; Corruption, Patient Safety — all annual. Non-completion triggers HR escalation.</w:t>
      </w:r>
    </w:p>
    <w:p>
      <w:r>
        <w:br w:type="page"/>
      </w:r>
    </w:p>
    <w:p>
      <w:pPr>
        <w:pStyle w:val="Heading1"/>
      </w:pPr>
      <w:r>
        <w:rPr>
          <w:color w:val="007B8A"/>
        </w:rPr>
        <w:t>SECTION 7: DIGITAL &amp; DATA GOVERNANCE (POL-DIG-007)</w:t>
      </w:r>
    </w:p>
    <w:p>
      <w:pPr>
        <w:pStyle w:val="Heading2"/>
      </w:pPr>
      <w:r>
        <w:rPr>
          <w:color w:val="003050"/>
        </w:rPr>
        <w:t>7.1 AI and Copilot Acceptable Use Policy</w:t>
      </w:r>
    </w:p>
    <w:p>
      <w:r>
        <w:rPr>
          <w:sz w:val="22"/>
        </w:rPr>
        <w:t>M365 Copilot and AI tools are approved for use within the Contoso Healthcare M365 tenant. User data and prompts do not leave the Microsoft 365 security boundary and are not used to train AI models (commercial data protection commitments apply). Approved use cases: drafting communications, summarising documents, data analysis, report preparation, meeting notes, research using public data. Never input into Copilot or AI tools: real patient identifiable information (name, IC, medical record number, diagnosis); employee personal data (salary, medical, disciplinary records); commercially sensitive data not already approved for digital processing; any data subject to legal privilege.</w:t>
      </w:r>
    </w:p>
    <w:p>
      <w:pPr>
        <w:pStyle w:val="Heading2"/>
      </w:pPr>
      <w:r>
        <w:rPr>
          <w:color w:val="003050"/>
        </w:rPr>
        <w:t>7.2 Data Classification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Classification</w:t>
            </w:r>
          </w:p>
        </w:tc>
        <w:tc>
          <w:tcPr>
            <w:tcW w:type="dxa" w:w="1728"/>
          </w:tcPr>
          <w:p>
            <w:r>
              <w:rPr>
                <w:b/>
                <w:color w:val="FFFFFF"/>
              </w:rPr>
              <w:t>Definition</w:t>
            </w:r>
          </w:p>
        </w:tc>
        <w:tc>
          <w:tcPr>
            <w:tcW w:type="dxa" w:w="1728"/>
          </w:tcPr>
          <w:p>
            <w:r>
              <w:rPr>
                <w:b/>
                <w:color w:val="FFFFFF"/>
              </w:rPr>
              <w:t>Examples</w:t>
            </w:r>
          </w:p>
        </w:tc>
        <w:tc>
          <w:tcPr>
            <w:tcW w:type="dxa" w:w="1728"/>
          </w:tcPr>
          <w:p>
            <w:r>
              <w:rPr>
                <w:b/>
                <w:color w:val="FFFFFF"/>
              </w:rPr>
              <w:t>Storage</w:t>
            </w:r>
          </w:p>
        </w:tc>
        <w:tc>
          <w:tcPr>
            <w:tcW w:type="dxa" w:w="1728"/>
          </w:tcPr>
          <w:p>
            <w:r>
              <w:rPr>
                <w:b/>
                <w:color w:val="FFFFFF"/>
              </w:rPr>
              <w:t>Sharing</w:t>
            </w:r>
          </w:p>
        </w:tc>
      </w:tr>
      <w:tr>
        <w:tc>
          <w:tcPr>
            <w:tcW w:type="dxa" w:w="1728"/>
          </w:tcPr>
          <w:p>
            <w:r>
              <w:t>Public</w:t>
            </w:r>
          </w:p>
        </w:tc>
        <w:tc>
          <w:tcPr>
            <w:tcW w:type="dxa" w:w="1728"/>
          </w:tcPr>
          <w:p>
            <w:r>
              <w:t>Approved for public release</w:t>
            </w:r>
          </w:p>
        </w:tc>
        <w:tc>
          <w:tcPr>
            <w:tcW w:type="dxa" w:w="1728"/>
          </w:tcPr>
          <w:p>
            <w:r>
              <w:t>Published annual reports, website content, approved press releases</w:t>
            </w:r>
          </w:p>
        </w:tc>
        <w:tc>
          <w:tcPr>
            <w:tcW w:type="dxa" w:w="1728"/>
          </w:tcPr>
          <w:p>
            <w:r>
              <w:t>Any approved platform</w:t>
            </w:r>
          </w:p>
        </w:tc>
        <w:tc>
          <w:tcPr>
            <w:tcW w:type="dxa" w:w="1728"/>
          </w:tcPr>
          <w:p>
            <w:r>
              <w:t>Freely shareable</w:t>
            </w:r>
          </w:p>
        </w:tc>
      </w:tr>
      <w:tr>
        <w:tc>
          <w:tcPr>
            <w:tcW w:type="dxa" w:w="1728"/>
          </w:tcPr>
          <w:p>
            <w:r>
              <w:t>Internal</w:t>
            </w:r>
          </w:p>
        </w:tc>
        <w:tc>
          <w:tcPr>
            <w:tcW w:type="dxa" w:w="1728"/>
          </w:tcPr>
          <w:p>
            <w:r>
              <w:t>For Contoso staff use; not for public</w:t>
            </w:r>
          </w:p>
        </w:tc>
        <w:tc>
          <w:tcPr>
            <w:tcW w:type="dxa" w:w="1728"/>
          </w:tcPr>
          <w:p>
            <w:r>
              <w:t>Operational policies, internal KPI reports, training materials</w:t>
            </w:r>
          </w:p>
        </w:tc>
        <w:tc>
          <w:tcPr>
            <w:tcW w:type="dxa" w:w="1728"/>
          </w:tcPr>
          <w:p>
            <w:r>
              <w:t>M365 SharePoint (authenticated)</w:t>
            </w:r>
          </w:p>
        </w:tc>
        <w:tc>
          <w:tcPr>
            <w:tcW w:type="dxa" w:w="1728"/>
          </w:tcPr>
          <w:p>
            <w:r>
              <w:t>Staff only; no external sharing without approval</w:t>
            </w:r>
          </w:p>
        </w:tc>
      </w:tr>
      <w:tr>
        <w:tc>
          <w:tcPr>
            <w:tcW w:type="dxa" w:w="1728"/>
          </w:tcPr>
          <w:p>
            <w:r>
              <w:t>Confidential</w:t>
            </w:r>
          </w:p>
        </w:tc>
        <w:tc>
          <w:tcPr>
            <w:tcW w:type="dxa" w:w="1728"/>
          </w:tcPr>
          <w:p>
            <w:r>
              <w:t>Sensitive business data; limited internal access</w:t>
            </w:r>
          </w:p>
        </w:tc>
        <w:tc>
          <w:tcPr>
            <w:tcW w:type="dxa" w:w="1728"/>
          </w:tcPr>
          <w:p>
            <w:r>
              <w:t>Financial forecasts, M&amp;A pipeline, board papers, HR individual data</w:t>
            </w:r>
          </w:p>
        </w:tc>
        <w:tc>
          <w:tcPr>
            <w:tcW w:type="dxa" w:w="1728"/>
          </w:tcPr>
          <w:p>
            <w:r>
              <w:t>SharePoint with permission controls; no USB/personal drives</w:t>
            </w:r>
          </w:p>
        </w:tc>
        <w:tc>
          <w:tcPr>
            <w:tcW w:type="dxa" w:w="1728"/>
          </w:tcPr>
          <w:p>
            <w:r>
              <w:t>Need-to-know; approval required</w:t>
            </w:r>
          </w:p>
        </w:tc>
      </w:tr>
      <w:tr>
        <w:tc>
          <w:tcPr>
            <w:tcW w:type="dxa" w:w="1728"/>
          </w:tcPr>
          <w:p>
            <w:r>
              <w:t>Restricted</w:t>
            </w:r>
          </w:p>
        </w:tc>
        <w:tc>
          <w:tcPr>
            <w:tcW w:type="dxa" w:w="1728"/>
          </w:tcPr>
          <w:p>
            <w:r>
              <w:t>Highest sensitivity; regulatory/legal implications</w:t>
            </w:r>
          </w:p>
        </w:tc>
        <w:tc>
          <w:tcPr>
            <w:tcW w:type="dxa" w:w="1728"/>
          </w:tcPr>
          <w:p>
            <w:r>
              <w:t>Patient medical records, legal advice, regulatory correspondence, whistleblower reports</w:t>
            </w:r>
          </w:p>
        </w:tc>
        <w:tc>
          <w:tcPr>
            <w:tcW w:type="dxa" w:w="1728"/>
          </w:tcPr>
          <w:p>
            <w:r>
              <w:t>Dedicated secure systems only (EMR, Legal system)</w:t>
            </w:r>
          </w:p>
        </w:tc>
        <w:tc>
          <w:tcPr>
            <w:tcW w:type="dxa" w:w="1728"/>
          </w:tcPr>
          <w:p>
            <w:r>
              <w:t>Strict access control; legal sign-off required</w:t>
            </w:r>
          </w:p>
        </w:tc>
      </w:tr>
    </w:tbl>
    <w:p>
      <w:pPr>
        <w:pStyle w:val="Heading2"/>
      </w:pPr>
      <w:r>
        <w:rPr>
          <w:color w:val="003050"/>
        </w:rPr>
        <w:t>7.3 Data Retention Schedule (Selected)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FFFFFF"/>
              </w:rPr>
              <w:t>Data Type</w:t>
            </w:r>
          </w:p>
        </w:tc>
        <w:tc>
          <w:tcPr>
            <w:tcW w:type="dxa" w:w="1728"/>
          </w:tcPr>
          <w:p>
            <w:r>
              <w:rPr>
                <w:b/>
                <w:color w:val="FFFFFF"/>
              </w:rPr>
              <w:t>Retention Period</w:t>
            </w:r>
          </w:p>
        </w:tc>
        <w:tc>
          <w:tcPr>
            <w:tcW w:type="dxa" w:w="1728"/>
          </w:tcPr>
          <w:p>
            <w:r>
              <w:rPr>
                <w:b/>
                <w:color w:val="FFFFFF"/>
              </w:rPr>
              <w:t>Format</w:t>
            </w:r>
          </w:p>
        </w:tc>
        <w:tc>
          <w:tcPr>
            <w:tcW w:type="dxa" w:w="1728"/>
          </w:tcPr>
          <w:p>
            <w:r>
              <w:rPr>
                <w:b/>
                <w:color w:val="FFFFFF"/>
              </w:rPr>
              <w:t>Responsibility</w:t>
            </w:r>
          </w:p>
        </w:tc>
        <w:tc>
          <w:tcPr>
            <w:tcW w:type="dxa" w:w="1728"/>
          </w:tcPr>
          <w:p>
            <w:r>
              <w:rPr>
                <w:b/>
                <w:color w:val="FFFFFF"/>
              </w:rPr>
              <w:t>Legal Basis</w:t>
            </w:r>
          </w:p>
        </w:tc>
      </w:tr>
      <w:tr>
        <w:tc>
          <w:tcPr>
            <w:tcW w:type="dxa" w:w="1728"/>
          </w:tcPr>
          <w:p>
            <w:r>
              <w:t>Patient medical records</w:t>
            </w:r>
          </w:p>
        </w:tc>
        <w:tc>
          <w:tcPr>
            <w:tcW w:type="dxa" w:w="1728"/>
          </w:tcPr>
          <w:p>
            <w:r>
              <w:t>7 years post last treatment (adults); until age 25 (minors)</w:t>
            </w:r>
          </w:p>
        </w:tc>
        <w:tc>
          <w:tcPr>
            <w:tcW w:type="dxa" w:w="1728"/>
          </w:tcPr>
          <w:p>
            <w:r>
              <w:t>EMR system</w:t>
            </w:r>
          </w:p>
        </w:tc>
        <w:tc>
          <w:tcPr>
            <w:tcW w:type="dxa" w:w="1728"/>
          </w:tcPr>
          <w:p>
            <w:r>
              <w:t>Hospital Records Manager</w:t>
            </w:r>
          </w:p>
        </w:tc>
        <w:tc>
          <w:tcPr>
            <w:tcW w:type="dxa" w:w="1728"/>
          </w:tcPr>
          <w:p>
            <w:r>
              <w:t>Private Healthcare Act; country-specific</w:t>
            </w:r>
          </w:p>
        </w:tc>
      </w:tr>
      <w:tr>
        <w:tc>
          <w:tcPr>
            <w:tcW w:type="dxa" w:w="1728"/>
          </w:tcPr>
          <w:p>
            <w:r>
              <w:t>Financial records</w:t>
            </w:r>
          </w:p>
        </w:tc>
        <w:tc>
          <w:tcPr>
            <w:tcW w:type="dxa" w:w="1728"/>
          </w:tcPr>
          <w:p>
            <w:r>
              <w:t>7 years from transaction date</w:t>
            </w:r>
          </w:p>
        </w:tc>
        <w:tc>
          <w:tcPr>
            <w:tcW w:type="dxa" w:w="1728"/>
          </w:tcPr>
          <w:p>
            <w:r>
              <w:t>ERP system + secure archive</w:t>
            </w:r>
          </w:p>
        </w:tc>
        <w:tc>
          <w:tcPr>
            <w:tcW w:type="dxa" w:w="1728"/>
          </w:tcPr>
          <w:p>
            <w:r>
              <w:t>Finance Controller</w:t>
            </w:r>
          </w:p>
        </w:tc>
        <w:tc>
          <w:tcPr>
            <w:tcW w:type="dxa" w:w="1728"/>
          </w:tcPr>
          <w:p>
            <w:r>
              <w:t>Companies Act (local jurisdiction)</w:t>
            </w:r>
          </w:p>
        </w:tc>
      </w:tr>
      <w:tr>
        <w:tc>
          <w:tcPr>
            <w:tcW w:type="dxa" w:w="1728"/>
          </w:tcPr>
          <w:p>
            <w:r>
              <w:t>HR employee records</w:t>
            </w:r>
          </w:p>
        </w:tc>
        <w:tc>
          <w:tcPr>
            <w:tcW w:type="dxa" w:w="1728"/>
          </w:tcPr>
          <w:p>
            <w:r>
              <w:t>7 years post employment end</w:t>
            </w:r>
          </w:p>
        </w:tc>
        <w:tc>
          <w:tcPr>
            <w:tcW w:type="dxa" w:w="1728"/>
          </w:tcPr>
          <w:p>
            <w:r>
              <w:t>HRIS</w:t>
            </w:r>
          </w:p>
        </w:tc>
        <w:tc>
          <w:tcPr>
            <w:tcW w:type="dxa" w:w="1728"/>
          </w:tcPr>
          <w:p>
            <w:r>
              <w:t>HR Director</w:t>
            </w:r>
          </w:p>
        </w:tc>
        <w:tc>
          <w:tcPr>
            <w:tcW w:type="dxa" w:w="1728"/>
          </w:tcPr>
          <w:p>
            <w:r>
              <w:t>Employment Act (local)</w:t>
            </w:r>
          </w:p>
        </w:tc>
      </w:tr>
      <w:tr>
        <w:tc>
          <w:tcPr>
            <w:tcW w:type="dxa" w:w="1728"/>
          </w:tcPr>
          <w:p>
            <w:r>
              <w:t>CCTV footage</w:t>
            </w:r>
          </w:p>
        </w:tc>
        <w:tc>
          <w:tcPr>
            <w:tcW w:type="dxa" w:w="1728"/>
          </w:tcPr>
          <w:p>
            <w:r>
              <w:t>30 days rolling (clinical areas); 90 days (car parks)</w:t>
            </w:r>
          </w:p>
        </w:tc>
        <w:tc>
          <w:tcPr>
            <w:tcW w:type="dxa" w:w="1728"/>
          </w:tcPr>
          <w:p>
            <w:r>
              <w:t>Security system</w:t>
            </w:r>
          </w:p>
        </w:tc>
        <w:tc>
          <w:tcPr>
            <w:tcW w:type="dxa" w:w="1728"/>
          </w:tcPr>
          <w:p>
            <w:r>
              <w:t>Facilities Manager</w:t>
            </w:r>
          </w:p>
        </w:tc>
        <w:tc>
          <w:tcPr>
            <w:tcW w:type="dxa" w:w="1728"/>
          </w:tcPr>
          <w:p>
            <w:r>
              <w:t>PDPA / local data protection law</w:t>
            </w:r>
          </w:p>
        </w:tc>
      </w:tr>
      <w:tr>
        <w:tc>
          <w:tcPr>
            <w:tcW w:type="dxa" w:w="1728"/>
          </w:tcPr>
          <w:p>
            <w:r>
              <w:t>Email &amp; Teams messages</w:t>
            </w:r>
          </w:p>
        </w:tc>
        <w:tc>
          <w:tcPr>
            <w:tcW w:type="dxa" w:w="1728"/>
          </w:tcPr>
          <w:p>
            <w:r>
              <w:t>3 years (standard); 7 years (compliance holds)</w:t>
            </w:r>
          </w:p>
        </w:tc>
        <w:tc>
          <w:tcPr>
            <w:tcW w:type="dxa" w:w="1728"/>
          </w:tcPr>
          <w:p>
            <w:r>
              <w:t>M365 Purview</w:t>
            </w:r>
          </w:p>
        </w:tc>
        <w:tc>
          <w:tcPr>
            <w:tcW w:type="dxa" w:w="1728"/>
          </w:tcPr>
          <w:p>
            <w:r>
              <w:t>IT / Compliance</w:t>
            </w:r>
          </w:p>
        </w:tc>
        <w:tc>
          <w:tcPr>
            <w:tcW w:type="dxa" w:w="1728"/>
          </w:tcPr>
          <w:p>
            <w:r>
              <w:t>Company policy + regulatory requirements</w:t>
            </w:r>
          </w:p>
        </w:tc>
      </w:tr>
      <w:tr>
        <w:tc>
          <w:tcPr>
            <w:tcW w:type="dxa" w:w="1728"/>
          </w:tcPr>
          <w:p>
            <w:r>
              <w:t>Copilot interaction logs</w:t>
            </w:r>
          </w:p>
        </w:tc>
        <w:tc>
          <w:tcPr>
            <w:tcW w:type="dxa" w:w="1728"/>
          </w:tcPr>
          <w:p>
            <w:r>
              <w:t>90 days (per Microsoft Commercial DPP)</w:t>
            </w:r>
          </w:p>
        </w:tc>
        <w:tc>
          <w:tcPr>
            <w:tcW w:type="dxa" w:w="1728"/>
          </w:tcPr>
          <w:p>
            <w:r>
              <w:t>M365 Admin Centre</w:t>
            </w:r>
          </w:p>
        </w:tc>
        <w:tc>
          <w:tcPr>
            <w:tcW w:type="dxa" w:w="1728"/>
          </w:tcPr>
          <w:p>
            <w:r>
              <w:t>IT Administrator</w:t>
            </w:r>
          </w:p>
        </w:tc>
        <w:tc>
          <w:tcPr>
            <w:tcW w:type="dxa" w:w="1728"/>
          </w:tcPr>
          <w:p>
            <w:r>
              <w:t>Microsoft Commercial Data Protection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